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2C265" w14:textId="2D6D1AAB" w:rsidR="002450FC" w:rsidRPr="006F756E" w:rsidRDefault="002450FC" w:rsidP="002450FC">
      <w:pPr>
        <w:pStyle w:val="CRCoverPage"/>
        <w:tabs>
          <w:tab w:val="right" w:pos="9639"/>
        </w:tabs>
        <w:spacing w:after="0"/>
        <w:jc w:val="center"/>
        <w:rPr>
          <w:rFonts w:cs="Arial"/>
          <w:b/>
          <w:sz w:val="24"/>
          <w:szCs w:val="24"/>
          <w:lang w:val="en-US"/>
        </w:rPr>
      </w:pPr>
      <w:r w:rsidRPr="006F756E">
        <w:rPr>
          <w:rFonts w:cs="Arial"/>
          <w:b/>
          <w:sz w:val="24"/>
          <w:szCs w:val="24"/>
          <w:lang w:val="en-US"/>
        </w:rPr>
        <w:t>3GPP TSG-RAN WG2 Meeting #131bis</w:t>
      </w:r>
      <w:r w:rsidRPr="006F756E">
        <w:rPr>
          <w:rFonts w:cs="Arial"/>
          <w:b/>
          <w:sz w:val="24"/>
          <w:szCs w:val="24"/>
          <w:lang w:val="en-US"/>
        </w:rPr>
        <w:tab/>
      </w:r>
      <w:r w:rsidR="009C5ADB" w:rsidRPr="009C5ADB">
        <w:rPr>
          <w:rFonts w:cs="Arial"/>
          <w:b/>
          <w:sz w:val="24"/>
          <w:szCs w:val="24"/>
          <w:lang w:val="en-US"/>
        </w:rPr>
        <w:t>R2-2507048</w:t>
      </w:r>
    </w:p>
    <w:p w14:paraId="1F4871D0" w14:textId="77777777" w:rsidR="002450FC" w:rsidRPr="006F756E" w:rsidRDefault="002450FC" w:rsidP="002450FC">
      <w:pPr>
        <w:pStyle w:val="CRCoverPage"/>
        <w:tabs>
          <w:tab w:val="right" w:pos="9639"/>
        </w:tabs>
        <w:spacing w:after="0"/>
        <w:rPr>
          <w:rFonts w:cs="Arial"/>
          <w:b/>
          <w:sz w:val="24"/>
          <w:szCs w:val="24"/>
          <w:lang w:val="en-US"/>
        </w:rPr>
      </w:pPr>
      <w:r w:rsidRPr="006F756E">
        <w:rPr>
          <w:rFonts w:cs="Arial"/>
          <w:b/>
          <w:sz w:val="24"/>
          <w:szCs w:val="24"/>
          <w:lang w:val="en-US"/>
        </w:rPr>
        <w:t>Prague, Czech Republic, Oct. 13</w:t>
      </w:r>
      <w:r w:rsidRPr="006F756E">
        <w:rPr>
          <w:rFonts w:cs="Arial"/>
          <w:b/>
          <w:sz w:val="24"/>
          <w:szCs w:val="24"/>
          <w:vertAlign w:val="superscript"/>
          <w:lang w:val="en-US"/>
        </w:rPr>
        <w:t xml:space="preserve">th </w:t>
      </w:r>
      <w:r w:rsidRPr="006F756E">
        <w:rPr>
          <w:rFonts w:cs="Arial"/>
          <w:b/>
          <w:sz w:val="24"/>
          <w:szCs w:val="24"/>
          <w:lang w:val="en-US"/>
        </w:rPr>
        <w:t>- 17</w:t>
      </w:r>
      <w:r w:rsidRPr="006F756E">
        <w:rPr>
          <w:rFonts w:cs="Arial"/>
          <w:b/>
          <w:sz w:val="24"/>
          <w:szCs w:val="24"/>
          <w:vertAlign w:val="superscript"/>
          <w:lang w:val="en-US"/>
        </w:rPr>
        <w:t>th</w:t>
      </w:r>
      <w:r w:rsidRPr="006F756E">
        <w:rPr>
          <w:rFonts w:cs="Arial"/>
          <w:b/>
          <w:sz w:val="24"/>
          <w:szCs w:val="24"/>
          <w:lang w:val="en-US"/>
        </w:rPr>
        <w:t>, 2025</w:t>
      </w:r>
    </w:p>
    <w:p w14:paraId="14AC234D" w14:textId="77777777" w:rsidR="00FB3C9D" w:rsidRPr="002450FC" w:rsidRDefault="00FB3C9D">
      <w:pPr>
        <w:tabs>
          <w:tab w:val="left" w:pos="1701"/>
          <w:tab w:val="right" w:pos="9639"/>
        </w:tabs>
        <w:spacing w:before="100" w:beforeAutospacing="1" w:after="100" w:afterAutospacing="1"/>
        <w:rPr>
          <w:rFonts w:cs="Arial"/>
          <w:b/>
          <w:color w:val="000000"/>
          <w:sz w:val="24"/>
          <w:lang w:val="en-US"/>
        </w:rPr>
      </w:pPr>
    </w:p>
    <w:p w14:paraId="2AD2FC05" w14:textId="10C9F1DC" w:rsidR="00FB3C9D" w:rsidRDefault="003D1DDD">
      <w:pPr>
        <w:pStyle w:val="3GPPHeader"/>
        <w:rPr>
          <w:sz w:val="22"/>
        </w:rPr>
      </w:pPr>
      <w:r>
        <w:rPr>
          <w:sz w:val="22"/>
        </w:rPr>
        <w:t>Agenda Item:</w:t>
      </w:r>
      <w:r>
        <w:rPr>
          <w:sz w:val="22"/>
        </w:rPr>
        <w:tab/>
      </w:r>
      <w:r w:rsidR="0011653C">
        <w:rPr>
          <w:rFonts w:hint="eastAsia"/>
          <w:sz w:val="22"/>
        </w:rPr>
        <w:t>8.</w:t>
      </w:r>
      <w:r w:rsidR="003E0FF2">
        <w:rPr>
          <w:sz w:val="22"/>
        </w:rPr>
        <w:t>17</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3100D682" w:rsidR="00FB3C9D" w:rsidRDefault="003D1DDD">
      <w:pPr>
        <w:pStyle w:val="3GPPHeader"/>
        <w:rPr>
          <w:sz w:val="22"/>
        </w:rPr>
      </w:pPr>
      <w:r>
        <w:rPr>
          <w:sz w:val="22"/>
        </w:rPr>
        <w:t>Title:</w:t>
      </w:r>
      <w:r>
        <w:rPr>
          <w:sz w:val="22"/>
        </w:rPr>
        <w:tab/>
        <w:t xml:space="preserve">Discussion on </w:t>
      </w:r>
      <w:r w:rsidR="00CD456B">
        <w:rPr>
          <w:sz w:val="22"/>
        </w:rPr>
        <w:t>I</w:t>
      </w:r>
      <w:r w:rsidR="00CD456B">
        <w:rPr>
          <w:rFonts w:hint="eastAsia"/>
          <w:sz w:val="22"/>
        </w:rPr>
        <w:t>o</w:t>
      </w:r>
      <w:r w:rsidR="00CD456B">
        <w:rPr>
          <w:sz w:val="22"/>
        </w:rPr>
        <w:t xml:space="preserve">T NTN </w:t>
      </w:r>
      <w:r w:rsidR="003E0FF2">
        <w:rPr>
          <w:sz w:val="22"/>
        </w:rPr>
        <w:t>TDD</w:t>
      </w:r>
      <w:r w:rsidR="003E0FF2">
        <w:rPr>
          <w:rFonts w:hint="eastAsia"/>
          <w:sz w:val="22"/>
        </w:rPr>
        <w:t xml:space="preserve"> </w:t>
      </w:r>
      <w:r w:rsidR="003E0FF2">
        <w:rPr>
          <w:sz w:val="22"/>
        </w:rPr>
        <w:t>mode</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6055B6DC" w:rsidR="00FB3C9D" w:rsidRDefault="003D1DDD">
      <w:pPr>
        <w:pStyle w:val="1"/>
      </w:pPr>
      <w:bookmarkStart w:id="0" w:name="_Ref488331639"/>
      <w:bookmarkStart w:id="1" w:name="_Toc131757144"/>
      <w:r>
        <w:t>Introduction</w:t>
      </w:r>
      <w:bookmarkStart w:id="2" w:name="_Ref178064866"/>
      <w:bookmarkEnd w:id="0"/>
      <w:bookmarkEnd w:id="1"/>
    </w:p>
    <w:p w14:paraId="184D2DA1" w14:textId="2E670936" w:rsidR="00B93822" w:rsidRDefault="00AB4A6B" w:rsidP="00F06491">
      <w:pPr>
        <w:pStyle w:val="afa"/>
        <w:rPr>
          <w:rFonts w:eastAsiaTheme="minorEastAsia"/>
        </w:rPr>
      </w:pPr>
      <w:r w:rsidRPr="00AB4A6B">
        <w:rPr>
          <w:lang w:eastAsia="ko-KR"/>
        </w:rPr>
        <w:t>In RAN#105</w:t>
      </w:r>
      <w:r w:rsidR="00B93822">
        <w:rPr>
          <w:lang w:eastAsia="ko-KR"/>
        </w:rPr>
        <w:t xml:space="preserve"> mee</w:t>
      </w:r>
      <w:r w:rsidR="00084466">
        <w:rPr>
          <w:lang w:eastAsia="ko-KR"/>
        </w:rPr>
        <w:t>t</w:t>
      </w:r>
      <w:r w:rsidR="00B93822">
        <w:rPr>
          <w:lang w:eastAsia="ko-KR"/>
        </w:rPr>
        <w:t>ing</w:t>
      </w:r>
      <w:r w:rsidRPr="00AB4A6B">
        <w:rPr>
          <w:lang w:eastAsia="ko-KR"/>
        </w:rPr>
        <w:t>, a new WI</w:t>
      </w:r>
      <w:r w:rsidR="00932DF6">
        <w:rPr>
          <w:lang w:eastAsia="ko-KR"/>
        </w:rPr>
        <w:t>D on</w:t>
      </w:r>
      <w:r w:rsidRPr="00AB4A6B">
        <w:rPr>
          <w:lang w:eastAsia="ko-KR"/>
        </w:rPr>
        <w:t xml:space="preserve"> IoT NTN TDD mode was approved</w:t>
      </w:r>
      <w:r w:rsidR="00932DF6">
        <w:rPr>
          <w:lang w:eastAsia="ko-KR"/>
        </w:rPr>
        <w:t>,</w:t>
      </w:r>
      <w:r w:rsidR="00932DF6" w:rsidRPr="00932DF6">
        <w:t xml:space="preserve"> </w:t>
      </w:r>
      <w:r w:rsidR="005055CC">
        <w:rPr>
          <w:rFonts w:hint="eastAsia"/>
        </w:rPr>
        <w:t>which</w:t>
      </w:r>
      <w:r w:rsidR="005055CC">
        <w:t xml:space="preserve"> </w:t>
      </w:r>
      <w:r w:rsidR="00535503">
        <w:t>was</w:t>
      </w:r>
      <w:r w:rsidR="00932DF6">
        <w:t xml:space="preserve"> further revised </w:t>
      </w:r>
      <w:r w:rsidR="00B93822">
        <w:t xml:space="preserve">to [1] </w:t>
      </w:r>
      <w:r w:rsidR="00932DF6">
        <w:t>in RAN#106</w:t>
      </w:r>
      <w:r w:rsidR="00B93822">
        <w:t xml:space="preserve"> meeting. </w:t>
      </w:r>
      <w:r w:rsidR="0087511C">
        <w:rPr>
          <w:lang w:eastAsia="ko-KR"/>
        </w:rPr>
        <w:t>T</w:t>
      </w:r>
      <w:r w:rsidRPr="00AB4A6B">
        <w:rPr>
          <w:lang w:eastAsia="ko-KR"/>
        </w:rPr>
        <w:t>h</w:t>
      </w:r>
      <w:r w:rsidR="00B93822">
        <w:rPr>
          <w:rFonts w:hint="eastAsia"/>
        </w:rPr>
        <w:t>is</w:t>
      </w:r>
      <w:r w:rsidR="00B93822">
        <w:rPr>
          <w:lang w:eastAsia="ko-KR"/>
        </w:rPr>
        <w:t xml:space="preserve"> work item aims</w:t>
      </w:r>
      <w:r w:rsidRPr="00AB4A6B">
        <w:rPr>
          <w:lang w:eastAsia="ko-KR"/>
        </w:rPr>
        <w:t xml:space="preserve"> to enable Iridium’s TDD band to provide NB-IoT service</w:t>
      </w:r>
      <w:r w:rsidR="00B93822">
        <w:rPr>
          <w:lang w:eastAsia="ko-KR"/>
        </w:rPr>
        <w:t xml:space="preserve"> </w:t>
      </w:r>
      <w:r w:rsidR="00B93822">
        <w:t xml:space="preserve">leveraging commonalities with half-duplex NB-IoT FDD NTN, by defining </w:t>
      </w:r>
      <w:r w:rsidR="00B93822">
        <w:rPr>
          <w:rStyle w:val="ui-provider"/>
        </w:rPr>
        <w:t>a new NB-IoT TDD mode for NTN based on minimum necessary changes to the NB-IoT NTN FDD frame structure and procedures</w:t>
      </w:r>
      <w:r w:rsidRPr="00AB4A6B">
        <w:rPr>
          <w:lang w:eastAsia="ko-KR"/>
        </w:rPr>
        <w:t xml:space="preserve">. </w:t>
      </w:r>
    </w:p>
    <w:p w14:paraId="0C8EEAB4" w14:textId="4BAC8729" w:rsidR="00244466" w:rsidRDefault="00244466" w:rsidP="00F06491">
      <w:pPr>
        <w:pStyle w:val="afa"/>
      </w:pPr>
      <w:r>
        <w:rPr>
          <w:rFonts w:eastAsiaTheme="minorEastAsia"/>
        </w:rPr>
        <w:t>I</w:t>
      </w:r>
      <w:r>
        <w:rPr>
          <w:rFonts w:eastAsiaTheme="minorEastAsia" w:hint="eastAsia"/>
        </w:rPr>
        <w:t>n</w:t>
      </w:r>
      <w:r>
        <w:rPr>
          <w:rFonts w:eastAsiaTheme="minorEastAsia"/>
        </w:rPr>
        <w:t xml:space="preserve"> the last RAN2 meetings, </w:t>
      </w:r>
      <w:r w:rsidRPr="006B2F9F">
        <w:t>TDD support for NB IoT NTN</w:t>
      </w:r>
      <w:r>
        <w:t xml:space="preserve"> was discussed, and the following agreements were reached.</w:t>
      </w:r>
    </w:p>
    <w:p w14:paraId="61CEC066" w14:textId="50BC82D5" w:rsidR="00244466" w:rsidRPr="00DD48E0" w:rsidRDefault="00244466" w:rsidP="00244466">
      <w:pPr>
        <w:pStyle w:val="Doc-text2"/>
        <w:pBdr>
          <w:top w:val="single" w:sz="4" w:space="1" w:color="auto"/>
          <w:left w:val="single" w:sz="4" w:space="4" w:color="auto"/>
          <w:bottom w:val="single" w:sz="4" w:space="1" w:color="auto"/>
          <w:right w:val="single" w:sz="4" w:space="4" w:color="auto"/>
        </w:pBdr>
        <w:rPr>
          <w:b/>
          <w:bCs/>
          <w:sz w:val="20"/>
          <w:szCs w:val="20"/>
        </w:rPr>
      </w:pPr>
      <w:r w:rsidRPr="00DD48E0">
        <w:rPr>
          <w:b/>
          <w:bCs/>
          <w:sz w:val="20"/>
          <w:szCs w:val="20"/>
        </w:rPr>
        <w:t>Agreements in RAN2#129:</w:t>
      </w:r>
    </w:p>
    <w:p w14:paraId="53B7EE0F" w14:textId="77777777" w:rsidR="00244466" w:rsidRPr="00244466" w:rsidRDefault="00244466" w:rsidP="00F257BC">
      <w:pPr>
        <w:pStyle w:val="Doc-text2"/>
        <w:numPr>
          <w:ilvl w:val="0"/>
          <w:numId w:val="19"/>
        </w:numPr>
        <w:pBdr>
          <w:top w:val="single" w:sz="4" w:space="1" w:color="auto"/>
          <w:left w:val="single" w:sz="4" w:space="4" w:color="auto"/>
          <w:bottom w:val="single" w:sz="4" w:space="1" w:color="auto"/>
          <w:right w:val="single" w:sz="4" w:space="4" w:color="auto"/>
          <w:between w:val="none" w:sz="0" w:space="0" w:color="auto"/>
        </w:pBdr>
        <w:rPr>
          <w:sz w:val="20"/>
          <w:szCs w:val="20"/>
        </w:rPr>
      </w:pPr>
      <w:bookmarkStart w:id="3" w:name="_Hlk193881321"/>
      <w:r w:rsidRPr="00244466">
        <w:rPr>
          <w:sz w:val="20"/>
          <w:szCs w:val="20"/>
        </w:rPr>
        <w:t>RAN2 will continue studying paging aspects based, on RAN1 progress</w:t>
      </w:r>
    </w:p>
    <w:p w14:paraId="52348998" w14:textId="77777777" w:rsidR="00244466" w:rsidRPr="00244466" w:rsidRDefault="00244466" w:rsidP="00F257BC">
      <w:pPr>
        <w:pStyle w:val="aff4"/>
        <w:numPr>
          <w:ilvl w:val="0"/>
          <w:numId w:val="19"/>
        </w:numPr>
        <w:pBdr>
          <w:top w:val="single" w:sz="4" w:space="1" w:color="auto"/>
          <w:left w:val="single" w:sz="4" w:space="4" w:color="auto"/>
          <w:bottom w:val="single" w:sz="4" w:space="1" w:color="auto"/>
          <w:right w:val="single" w:sz="4" w:space="4" w:color="auto"/>
          <w:between w:val="none" w:sz="0" w:space="0" w:color="auto"/>
        </w:pBdr>
        <w:spacing w:after="0"/>
        <w:contextualSpacing w:val="0"/>
        <w:jc w:val="left"/>
        <w:rPr>
          <w:rFonts w:eastAsia="MS Mincho"/>
          <w:szCs w:val="20"/>
        </w:rPr>
      </w:pPr>
      <w:r w:rsidRPr="00244466">
        <w:rPr>
          <w:rFonts w:eastAsia="MS Mincho"/>
          <w:szCs w:val="20"/>
        </w:rPr>
        <w:t xml:space="preserve">RAN2 assumes </w:t>
      </w:r>
      <w:proofErr w:type="spellStart"/>
      <w:r w:rsidRPr="00244466">
        <w:rPr>
          <w:rFonts w:eastAsia="MS Mincho"/>
          <w:szCs w:val="20"/>
        </w:rPr>
        <w:t>Kmac</w:t>
      </w:r>
      <w:proofErr w:type="spellEnd"/>
      <w:r w:rsidRPr="00244466">
        <w:rPr>
          <w:rFonts w:eastAsia="MS Mincho"/>
          <w:szCs w:val="20"/>
        </w:rPr>
        <w:t xml:space="preserve"> has to be extended (or a new parameter with higher range introduced) to address the case where the number of hops exceeds a certain limit. We continue the discussion in the next meeting to investigate if there are any other implications and in case of any decisions we send an LS to other groups if needed.</w:t>
      </w:r>
    </w:p>
    <w:p w14:paraId="448F6562" w14:textId="77777777" w:rsidR="00244466" w:rsidRPr="00244466" w:rsidRDefault="00244466" w:rsidP="00F257BC">
      <w:pPr>
        <w:pStyle w:val="Doc-text2"/>
        <w:numPr>
          <w:ilvl w:val="0"/>
          <w:numId w:val="19"/>
        </w:numPr>
        <w:pBdr>
          <w:top w:val="single" w:sz="4" w:space="1" w:color="auto"/>
          <w:left w:val="single" w:sz="4" w:space="4" w:color="auto"/>
          <w:bottom w:val="single" w:sz="4" w:space="1" w:color="auto"/>
          <w:right w:val="single" w:sz="4" w:space="4" w:color="auto"/>
          <w:between w:val="none" w:sz="0" w:space="0" w:color="auto"/>
        </w:pBdr>
        <w:rPr>
          <w:sz w:val="20"/>
          <w:szCs w:val="20"/>
        </w:rPr>
      </w:pPr>
      <w:r w:rsidRPr="00244466">
        <w:rPr>
          <w:sz w:val="20"/>
          <w:szCs w:val="20"/>
        </w:rPr>
        <w:t xml:space="preserve">RAN2 confirms that idle mode </w:t>
      </w:r>
      <w:proofErr w:type="spellStart"/>
      <w:r w:rsidRPr="00244466">
        <w:rPr>
          <w:sz w:val="20"/>
          <w:szCs w:val="20"/>
        </w:rPr>
        <w:t>eDRX</w:t>
      </w:r>
      <w:proofErr w:type="spellEnd"/>
      <w:r w:rsidRPr="00244466">
        <w:rPr>
          <w:sz w:val="20"/>
          <w:szCs w:val="20"/>
        </w:rPr>
        <w:t xml:space="preserve"> is supported in IoT-NTN TDD network.</w:t>
      </w:r>
    </w:p>
    <w:p w14:paraId="4C314049" w14:textId="77777777" w:rsidR="00244466" w:rsidRPr="00244466" w:rsidRDefault="00244466" w:rsidP="00F257BC">
      <w:pPr>
        <w:pStyle w:val="aff4"/>
        <w:numPr>
          <w:ilvl w:val="0"/>
          <w:numId w:val="19"/>
        </w:numPr>
        <w:pBdr>
          <w:top w:val="single" w:sz="4" w:space="1" w:color="auto"/>
          <w:left w:val="single" w:sz="4" w:space="4" w:color="auto"/>
          <w:bottom w:val="single" w:sz="4" w:space="1" w:color="auto"/>
          <w:right w:val="single" w:sz="4" w:space="4" w:color="auto"/>
          <w:between w:val="none" w:sz="0" w:space="0" w:color="auto"/>
        </w:pBdr>
        <w:spacing w:after="0"/>
        <w:contextualSpacing w:val="0"/>
        <w:jc w:val="left"/>
        <w:rPr>
          <w:rFonts w:eastAsia="MS Mincho"/>
          <w:szCs w:val="20"/>
        </w:rPr>
      </w:pPr>
      <w:r w:rsidRPr="00244466">
        <w:rPr>
          <w:rFonts w:eastAsia="MS Mincho"/>
          <w:szCs w:val="20"/>
        </w:rPr>
        <w:t xml:space="preserve">RAN2 thinks that a change of H-SFN duration (Option 1-1) and/or H-SFN total number (option 2-2) will impact RAN2 and SA2 specification regarding the support of idle mode </w:t>
      </w:r>
      <w:proofErr w:type="spellStart"/>
      <w:r w:rsidRPr="00244466">
        <w:rPr>
          <w:rFonts w:eastAsia="MS Mincho"/>
          <w:szCs w:val="20"/>
        </w:rPr>
        <w:t>eDRX</w:t>
      </w:r>
      <w:proofErr w:type="spellEnd"/>
      <w:r w:rsidRPr="00244466">
        <w:rPr>
          <w:rFonts w:eastAsia="MS Mincho"/>
          <w:szCs w:val="20"/>
        </w:rPr>
        <w:t xml:space="preserve"> in IoT-NTN TDD network and the impact should be evaluated.</w:t>
      </w:r>
    </w:p>
    <w:bookmarkEnd w:id="3"/>
    <w:p w14:paraId="187C08A3" w14:textId="77777777" w:rsidR="00244466" w:rsidRPr="00244466" w:rsidRDefault="00244466" w:rsidP="00F257BC">
      <w:pPr>
        <w:pStyle w:val="aff4"/>
        <w:numPr>
          <w:ilvl w:val="0"/>
          <w:numId w:val="19"/>
        </w:numPr>
        <w:pBdr>
          <w:top w:val="single" w:sz="4" w:space="1" w:color="auto"/>
          <w:left w:val="single" w:sz="4" w:space="4" w:color="auto"/>
          <w:bottom w:val="single" w:sz="4" w:space="1" w:color="auto"/>
          <w:right w:val="single" w:sz="4" w:space="4" w:color="auto"/>
          <w:between w:val="none" w:sz="0" w:space="0" w:color="auto"/>
        </w:pBdr>
        <w:spacing w:after="0"/>
        <w:contextualSpacing w:val="0"/>
        <w:jc w:val="left"/>
        <w:rPr>
          <w:rFonts w:eastAsia="MS Mincho"/>
          <w:szCs w:val="20"/>
        </w:rPr>
      </w:pPr>
      <w:r w:rsidRPr="00244466">
        <w:rPr>
          <w:rFonts w:eastAsia="MS Mincho"/>
          <w:szCs w:val="20"/>
        </w:rPr>
        <w:t xml:space="preserve">RAN2 assumes that legacy coverage enhancement techniques (i.e. transmission with repetitions) are supported in IoT-NTN TDD system. </w:t>
      </w:r>
    </w:p>
    <w:p w14:paraId="69642011" w14:textId="77777777" w:rsidR="00244466" w:rsidRPr="00244466" w:rsidRDefault="00244466" w:rsidP="00F257BC">
      <w:pPr>
        <w:pStyle w:val="aff4"/>
        <w:numPr>
          <w:ilvl w:val="0"/>
          <w:numId w:val="19"/>
        </w:numPr>
        <w:pBdr>
          <w:top w:val="single" w:sz="4" w:space="1" w:color="auto"/>
          <w:left w:val="single" w:sz="4" w:space="4" w:color="auto"/>
          <w:bottom w:val="single" w:sz="4" w:space="1" w:color="auto"/>
          <w:right w:val="single" w:sz="4" w:space="4" w:color="auto"/>
          <w:between w:val="none" w:sz="0" w:space="0" w:color="auto"/>
        </w:pBdr>
        <w:spacing w:after="0"/>
        <w:contextualSpacing w:val="0"/>
        <w:jc w:val="left"/>
        <w:rPr>
          <w:rFonts w:eastAsia="MS Mincho"/>
          <w:szCs w:val="20"/>
        </w:rPr>
      </w:pPr>
      <w:r w:rsidRPr="00244466">
        <w:rPr>
          <w:rFonts w:eastAsia="MS Mincho"/>
          <w:szCs w:val="20"/>
        </w:rPr>
        <w:t xml:space="preserve">RAN2 can continue the discussion also on RAR window </w:t>
      </w:r>
    </w:p>
    <w:p w14:paraId="412F17A0" w14:textId="77777777" w:rsidR="00244466" w:rsidRPr="00244466" w:rsidRDefault="00244466" w:rsidP="00F257BC">
      <w:pPr>
        <w:pStyle w:val="aff4"/>
        <w:numPr>
          <w:ilvl w:val="0"/>
          <w:numId w:val="19"/>
        </w:numPr>
        <w:pBdr>
          <w:top w:val="single" w:sz="4" w:space="1" w:color="auto"/>
          <w:left w:val="single" w:sz="4" w:space="4" w:color="auto"/>
          <w:bottom w:val="single" w:sz="4" w:space="1" w:color="auto"/>
          <w:right w:val="single" w:sz="4" w:space="4" w:color="auto"/>
          <w:between w:val="none" w:sz="0" w:space="0" w:color="auto"/>
        </w:pBdr>
        <w:spacing w:after="0"/>
        <w:contextualSpacing w:val="0"/>
        <w:jc w:val="left"/>
        <w:rPr>
          <w:rFonts w:eastAsia="MS Mincho"/>
          <w:szCs w:val="20"/>
        </w:rPr>
      </w:pPr>
      <w:r w:rsidRPr="00244466">
        <w:rPr>
          <w:rFonts w:eastAsia="MS Mincho"/>
          <w:szCs w:val="20"/>
        </w:rPr>
        <w:t xml:space="preserve">Legacy barring bit will be used (FFS is </w:t>
      </w:r>
      <w:proofErr w:type="spellStart"/>
      <w:r w:rsidRPr="00244466">
        <w:rPr>
          <w:rFonts w:eastAsia="MS Mincho"/>
          <w:szCs w:val="20"/>
        </w:rPr>
        <w:t>cellBarred</w:t>
      </w:r>
      <w:proofErr w:type="spellEnd"/>
      <w:r w:rsidRPr="00244466">
        <w:rPr>
          <w:rFonts w:eastAsia="MS Mincho"/>
          <w:szCs w:val="20"/>
        </w:rPr>
        <w:t xml:space="preserve"> or </w:t>
      </w:r>
      <w:proofErr w:type="spellStart"/>
      <w:r w:rsidRPr="00244466">
        <w:rPr>
          <w:rFonts w:eastAsia="MS Mincho"/>
          <w:szCs w:val="20"/>
        </w:rPr>
        <w:t>cellBarred</w:t>
      </w:r>
      <w:proofErr w:type="spellEnd"/>
      <w:r w:rsidRPr="00244466">
        <w:rPr>
          <w:rFonts w:eastAsia="MS Mincho"/>
          <w:szCs w:val="20"/>
        </w:rPr>
        <w:t>-NTN)</w:t>
      </w:r>
    </w:p>
    <w:p w14:paraId="4D2E883A" w14:textId="77777777" w:rsidR="00DD48E0" w:rsidRPr="00DD48E0" w:rsidRDefault="00DD48E0" w:rsidP="00DD48E0">
      <w:pPr>
        <w:pStyle w:val="Comments"/>
        <w:rPr>
          <w:rFonts w:eastAsiaTheme="minorEastAsia"/>
          <w:lang w:eastAsia="zh-CN"/>
        </w:rPr>
      </w:pPr>
    </w:p>
    <w:p w14:paraId="0D2CF443" w14:textId="3CC98382" w:rsidR="00DD48E0" w:rsidRPr="00DD48E0" w:rsidRDefault="00DD48E0" w:rsidP="00DD48E0">
      <w:pPr>
        <w:pStyle w:val="Doc-text2"/>
        <w:pBdr>
          <w:top w:val="single" w:sz="4" w:space="1" w:color="auto"/>
          <w:left w:val="single" w:sz="4" w:space="4" w:color="auto"/>
          <w:bottom w:val="single" w:sz="4" w:space="1" w:color="auto"/>
          <w:right w:val="single" w:sz="4" w:space="4" w:color="auto"/>
        </w:pBdr>
        <w:rPr>
          <w:b/>
          <w:bCs/>
          <w:sz w:val="20"/>
          <w:szCs w:val="20"/>
        </w:rPr>
      </w:pPr>
      <w:r w:rsidRPr="00DD48E0">
        <w:rPr>
          <w:b/>
          <w:bCs/>
          <w:sz w:val="20"/>
          <w:szCs w:val="20"/>
        </w:rPr>
        <w:t>Agreements</w:t>
      </w:r>
      <w:r>
        <w:rPr>
          <w:b/>
          <w:bCs/>
          <w:sz w:val="20"/>
          <w:szCs w:val="20"/>
        </w:rPr>
        <w:t xml:space="preserve"> in RAN2#129bis</w:t>
      </w:r>
      <w:r w:rsidRPr="00DD48E0">
        <w:rPr>
          <w:b/>
          <w:bCs/>
          <w:sz w:val="20"/>
          <w:szCs w:val="20"/>
        </w:rPr>
        <w:t>:</w:t>
      </w:r>
    </w:p>
    <w:p w14:paraId="10A363FE" w14:textId="77777777" w:rsidR="00DD48E0" w:rsidRPr="00DD48E0" w:rsidRDefault="00DD48E0" w:rsidP="00DD48E0">
      <w:pPr>
        <w:pStyle w:val="Doc-text2"/>
        <w:pBdr>
          <w:top w:val="single" w:sz="4" w:space="1" w:color="auto"/>
          <w:left w:val="single" w:sz="4" w:space="4" w:color="auto"/>
          <w:bottom w:val="single" w:sz="4" w:space="1" w:color="auto"/>
          <w:right w:val="single" w:sz="4" w:space="4" w:color="auto"/>
        </w:pBdr>
        <w:rPr>
          <w:sz w:val="20"/>
          <w:szCs w:val="20"/>
        </w:rPr>
      </w:pPr>
      <w:r w:rsidRPr="00DD48E0">
        <w:rPr>
          <w:sz w:val="20"/>
          <w:szCs w:val="20"/>
        </w:rPr>
        <w:t>1.</w:t>
      </w:r>
      <w:r w:rsidRPr="00DD48E0">
        <w:rPr>
          <w:sz w:val="20"/>
          <w:szCs w:val="20"/>
        </w:rPr>
        <w:tab/>
        <w:t>Regarding paging occasion determination, legacy NB-IoT PO determination mechanism is used. When the determined paging subframe is not a valid downlink subframe, the Paging monitoring is postponed to the nearest valid downlink subframe.</w:t>
      </w:r>
    </w:p>
    <w:p w14:paraId="673FBCD8" w14:textId="77777777" w:rsidR="00DD48E0" w:rsidRPr="00DD48E0" w:rsidRDefault="00DD48E0" w:rsidP="00DD48E0">
      <w:pPr>
        <w:pStyle w:val="Doc-text2"/>
        <w:pBdr>
          <w:top w:val="single" w:sz="4" w:space="1" w:color="auto"/>
          <w:left w:val="single" w:sz="4" w:space="4" w:color="auto"/>
          <w:bottom w:val="single" w:sz="4" w:space="1" w:color="auto"/>
          <w:right w:val="single" w:sz="4" w:space="4" w:color="auto"/>
        </w:pBdr>
        <w:rPr>
          <w:sz w:val="20"/>
          <w:szCs w:val="20"/>
        </w:rPr>
      </w:pPr>
      <w:r w:rsidRPr="00DD48E0">
        <w:rPr>
          <w:sz w:val="20"/>
          <w:szCs w:val="20"/>
        </w:rPr>
        <w:t>2.</w:t>
      </w:r>
      <w:r w:rsidRPr="00DD48E0">
        <w:rPr>
          <w:sz w:val="20"/>
          <w:szCs w:val="20"/>
        </w:rPr>
        <w:tab/>
        <w:t>In IoT-NTN TDD mode, existing cell barring mechanism using the IE cellBarred-r13 and cellBarred-NTN-r17 in SIB1 is sufficient to control access to the IoT-NTN TDD cell.</w:t>
      </w:r>
    </w:p>
    <w:p w14:paraId="133CA5CE" w14:textId="77777777" w:rsidR="00DD48E0" w:rsidRPr="00DD48E0" w:rsidRDefault="00DD48E0" w:rsidP="00DD48E0">
      <w:pPr>
        <w:pStyle w:val="Doc-text2"/>
        <w:pBdr>
          <w:top w:val="single" w:sz="4" w:space="1" w:color="auto"/>
          <w:left w:val="single" w:sz="4" w:space="4" w:color="auto"/>
          <w:bottom w:val="single" w:sz="4" w:space="1" w:color="auto"/>
          <w:right w:val="single" w:sz="4" w:space="4" w:color="auto"/>
        </w:pBdr>
        <w:rPr>
          <w:sz w:val="20"/>
          <w:szCs w:val="20"/>
        </w:rPr>
      </w:pPr>
      <w:r w:rsidRPr="00DD48E0">
        <w:rPr>
          <w:sz w:val="20"/>
          <w:szCs w:val="20"/>
        </w:rPr>
        <w:t>3.</w:t>
      </w:r>
      <w:r w:rsidRPr="00DD48E0">
        <w:rPr>
          <w:sz w:val="20"/>
          <w:szCs w:val="20"/>
        </w:rPr>
        <w:tab/>
        <w:t>Existing value ranges of timers in unit of PDCCH periods are reused for IoT NTN TDD (FFS on the possible clarification to take into account the impact of invalid subframes</w:t>
      </w:r>
    </w:p>
    <w:p w14:paraId="18B18291" w14:textId="77777777" w:rsidR="00DD48E0" w:rsidRPr="00DD48E0" w:rsidRDefault="00DD48E0" w:rsidP="00DD48E0">
      <w:pPr>
        <w:pStyle w:val="Doc-text2"/>
        <w:pBdr>
          <w:top w:val="single" w:sz="4" w:space="1" w:color="auto"/>
          <w:left w:val="single" w:sz="4" w:space="4" w:color="auto"/>
          <w:bottom w:val="single" w:sz="4" w:space="1" w:color="auto"/>
          <w:right w:val="single" w:sz="4" w:space="4" w:color="auto"/>
        </w:pBdr>
        <w:rPr>
          <w:sz w:val="20"/>
          <w:szCs w:val="20"/>
        </w:rPr>
      </w:pPr>
      <w:r w:rsidRPr="00DD48E0">
        <w:rPr>
          <w:sz w:val="20"/>
          <w:szCs w:val="20"/>
        </w:rPr>
        <w:t>4.</w:t>
      </w:r>
      <w:r w:rsidRPr="00DD48E0">
        <w:rPr>
          <w:sz w:val="20"/>
          <w:szCs w:val="20"/>
        </w:rPr>
        <w:tab/>
        <w:t>When PUR resource start subframe does not align with the UL subframes in the H-SFN, UE postpones the PUR resource start subframe to the next valid UL subframe</w:t>
      </w:r>
    </w:p>
    <w:p w14:paraId="6CEAA706" w14:textId="77777777" w:rsidR="00DD48E0" w:rsidRPr="00DD48E0" w:rsidRDefault="00DD48E0" w:rsidP="00DD48E0">
      <w:pPr>
        <w:pStyle w:val="Doc-text2"/>
        <w:pBdr>
          <w:top w:val="single" w:sz="4" w:space="1" w:color="auto"/>
          <w:left w:val="single" w:sz="4" w:space="4" w:color="auto"/>
          <w:bottom w:val="single" w:sz="4" w:space="1" w:color="auto"/>
          <w:right w:val="single" w:sz="4" w:space="4" w:color="auto"/>
        </w:pBdr>
        <w:rPr>
          <w:sz w:val="20"/>
          <w:szCs w:val="20"/>
        </w:rPr>
      </w:pPr>
      <w:r w:rsidRPr="00DD48E0">
        <w:rPr>
          <w:sz w:val="20"/>
          <w:szCs w:val="20"/>
        </w:rPr>
        <w:t>5.</w:t>
      </w:r>
      <w:r w:rsidRPr="00DD48E0">
        <w:rPr>
          <w:sz w:val="20"/>
          <w:szCs w:val="20"/>
        </w:rPr>
        <w:tab/>
        <w:t xml:space="preserve">When the UL SPS overlaps with non-U NB-IoT subframes UE postpones the UL SPS resource to the next valid UL subframe </w:t>
      </w:r>
    </w:p>
    <w:p w14:paraId="011693C9" w14:textId="77777777" w:rsidR="00DD48E0" w:rsidRPr="00DD48E0" w:rsidRDefault="00DD48E0" w:rsidP="00DD48E0">
      <w:pPr>
        <w:pStyle w:val="Doc-text2"/>
        <w:pBdr>
          <w:top w:val="single" w:sz="4" w:space="1" w:color="auto"/>
          <w:left w:val="single" w:sz="4" w:space="4" w:color="auto"/>
          <w:bottom w:val="single" w:sz="4" w:space="1" w:color="auto"/>
          <w:right w:val="single" w:sz="4" w:space="4" w:color="auto"/>
        </w:pBdr>
        <w:rPr>
          <w:sz w:val="20"/>
          <w:szCs w:val="20"/>
        </w:rPr>
      </w:pPr>
      <w:r w:rsidRPr="00DD48E0">
        <w:rPr>
          <w:sz w:val="20"/>
          <w:szCs w:val="20"/>
        </w:rPr>
        <w:t>6.</w:t>
      </w:r>
      <w:r w:rsidRPr="00DD48E0">
        <w:rPr>
          <w:sz w:val="20"/>
          <w:szCs w:val="20"/>
        </w:rPr>
        <w:tab/>
        <w:t xml:space="preserve">For IoT NTN TDD mode, support k-Mac with a value range up to 1023 </w:t>
      </w:r>
      <w:proofErr w:type="spellStart"/>
      <w:r w:rsidRPr="00DD48E0">
        <w:rPr>
          <w:sz w:val="20"/>
          <w:szCs w:val="20"/>
        </w:rPr>
        <w:t>ms</w:t>
      </w:r>
      <w:proofErr w:type="spellEnd"/>
      <w:r w:rsidRPr="00DD48E0">
        <w:rPr>
          <w:sz w:val="20"/>
          <w:szCs w:val="20"/>
        </w:rPr>
        <w:t xml:space="preserve"> (add corresponding a restriction in the field description)</w:t>
      </w:r>
    </w:p>
    <w:p w14:paraId="79D08E01" w14:textId="77777777" w:rsidR="00F06491" w:rsidRDefault="00F06491" w:rsidP="00F06491">
      <w:pPr>
        <w:pStyle w:val="Doc-text2"/>
        <w:ind w:left="0" w:firstLine="0"/>
      </w:pPr>
    </w:p>
    <w:p w14:paraId="009D89D4" w14:textId="7F9C68A2" w:rsidR="00F06491" w:rsidRPr="00DD48E0" w:rsidRDefault="00F06491" w:rsidP="00F06491">
      <w:pPr>
        <w:pStyle w:val="Doc-text2"/>
        <w:pBdr>
          <w:top w:val="single" w:sz="4" w:space="1" w:color="auto"/>
          <w:left w:val="single" w:sz="4" w:space="4" w:color="auto"/>
          <w:bottom w:val="single" w:sz="4" w:space="1" w:color="auto"/>
          <w:right w:val="single" w:sz="4" w:space="4" w:color="auto"/>
        </w:pBdr>
        <w:rPr>
          <w:b/>
          <w:bCs/>
          <w:sz w:val="20"/>
          <w:szCs w:val="20"/>
        </w:rPr>
      </w:pPr>
      <w:r w:rsidRPr="00DD48E0">
        <w:rPr>
          <w:b/>
          <w:bCs/>
          <w:sz w:val="20"/>
          <w:szCs w:val="20"/>
        </w:rPr>
        <w:t>Agreements</w:t>
      </w:r>
      <w:r>
        <w:rPr>
          <w:b/>
          <w:bCs/>
          <w:sz w:val="20"/>
          <w:szCs w:val="20"/>
        </w:rPr>
        <w:t xml:space="preserve"> in RAN2#130</w:t>
      </w:r>
      <w:r w:rsidRPr="00DD48E0">
        <w:rPr>
          <w:b/>
          <w:bCs/>
          <w:sz w:val="20"/>
          <w:szCs w:val="20"/>
        </w:rPr>
        <w:t>:</w:t>
      </w:r>
    </w:p>
    <w:p w14:paraId="73116DC3" w14:textId="77777777" w:rsidR="00F06491" w:rsidRPr="00F06491" w:rsidRDefault="00F06491" w:rsidP="00F06491">
      <w:pPr>
        <w:pStyle w:val="Doc-text2"/>
        <w:pBdr>
          <w:top w:val="single" w:sz="4" w:space="1" w:color="auto"/>
          <w:left w:val="single" w:sz="4" w:space="4" w:color="auto"/>
          <w:bottom w:val="single" w:sz="4" w:space="1" w:color="auto"/>
          <w:right w:val="single" w:sz="4" w:space="4" w:color="auto"/>
        </w:pBdr>
        <w:rPr>
          <w:sz w:val="20"/>
          <w:szCs w:val="20"/>
        </w:rPr>
      </w:pPr>
      <w:r w:rsidRPr="00F06491">
        <w:rPr>
          <w:sz w:val="20"/>
          <w:szCs w:val="20"/>
        </w:rPr>
        <w:t>1.</w:t>
      </w:r>
      <w:r w:rsidRPr="00F06491">
        <w:rPr>
          <w:sz w:val="20"/>
          <w:szCs w:val="20"/>
        </w:rPr>
        <w:tab/>
        <w:t>The SI-message transmission can be postponed to the next valid D frame within the SI-Window</w:t>
      </w:r>
    </w:p>
    <w:p w14:paraId="7EACBC62" w14:textId="77777777" w:rsidR="00F06491" w:rsidRPr="00F06491" w:rsidRDefault="00F06491" w:rsidP="00F06491">
      <w:pPr>
        <w:pStyle w:val="Doc-text2"/>
        <w:pBdr>
          <w:top w:val="single" w:sz="4" w:space="1" w:color="auto"/>
          <w:left w:val="single" w:sz="4" w:space="4" w:color="auto"/>
          <w:bottom w:val="single" w:sz="4" w:space="1" w:color="auto"/>
          <w:right w:val="single" w:sz="4" w:space="4" w:color="auto"/>
        </w:pBdr>
        <w:rPr>
          <w:sz w:val="20"/>
          <w:szCs w:val="20"/>
        </w:rPr>
      </w:pPr>
      <w:r w:rsidRPr="00F06491">
        <w:rPr>
          <w:sz w:val="20"/>
          <w:szCs w:val="20"/>
        </w:rPr>
        <w:t>2.</w:t>
      </w:r>
      <w:r w:rsidRPr="00F06491">
        <w:rPr>
          <w:sz w:val="20"/>
          <w:szCs w:val="20"/>
        </w:rPr>
        <w:tab/>
        <w:t>It is up to NW implementation to avoid SI-window overlap</w:t>
      </w:r>
    </w:p>
    <w:p w14:paraId="43C40731" w14:textId="77777777" w:rsidR="00F06491" w:rsidRPr="00F06491" w:rsidRDefault="00F06491" w:rsidP="00F06491">
      <w:pPr>
        <w:pStyle w:val="Doc-text2"/>
        <w:pBdr>
          <w:top w:val="single" w:sz="4" w:space="1" w:color="auto"/>
          <w:left w:val="single" w:sz="4" w:space="4" w:color="auto"/>
          <w:bottom w:val="single" w:sz="4" w:space="1" w:color="auto"/>
          <w:right w:val="single" w:sz="4" w:space="4" w:color="auto"/>
        </w:pBdr>
        <w:rPr>
          <w:sz w:val="20"/>
          <w:szCs w:val="20"/>
        </w:rPr>
      </w:pPr>
      <w:r w:rsidRPr="00F06491">
        <w:rPr>
          <w:sz w:val="20"/>
          <w:szCs w:val="20"/>
        </w:rPr>
        <w:lastRenderedPageBreak/>
        <w:t>3.</w:t>
      </w:r>
      <w:r w:rsidRPr="00F06491">
        <w:rPr>
          <w:sz w:val="20"/>
          <w:szCs w:val="20"/>
        </w:rPr>
        <w:tab/>
        <w:t>SI repetitions will not overlap (in case of collision the subsequent SI repetition is postponed)</w:t>
      </w:r>
    </w:p>
    <w:p w14:paraId="5254CBED" w14:textId="77777777" w:rsidR="00F06491" w:rsidRPr="00F06491" w:rsidRDefault="00F06491" w:rsidP="00F06491">
      <w:pPr>
        <w:pStyle w:val="Doc-text2"/>
        <w:pBdr>
          <w:top w:val="single" w:sz="4" w:space="1" w:color="auto"/>
          <w:left w:val="single" w:sz="4" w:space="4" w:color="auto"/>
          <w:bottom w:val="single" w:sz="4" w:space="1" w:color="auto"/>
          <w:right w:val="single" w:sz="4" w:space="4" w:color="auto"/>
        </w:pBdr>
        <w:rPr>
          <w:sz w:val="20"/>
          <w:szCs w:val="20"/>
        </w:rPr>
      </w:pPr>
      <w:r w:rsidRPr="00F06491">
        <w:rPr>
          <w:sz w:val="20"/>
          <w:szCs w:val="20"/>
        </w:rPr>
        <w:t>4.</w:t>
      </w:r>
      <w:r w:rsidRPr="00F06491">
        <w:rPr>
          <w:sz w:val="20"/>
          <w:szCs w:val="20"/>
        </w:rPr>
        <w:tab/>
        <w:t>In IoT-NTN TDD mode, the RA-RNTI should be calculated based on the SFN of the first radio frame in which the Random-Access Preamble is transmitted (i.e. no spec change)</w:t>
      </w:r>
    </w:p>
    <w:p w14:paraId="1A2016DF" w14:textId="77777777" w:rsidR="00F06491" w:rsidRPr="00F06491" w:rsidRDefault="00F06491" w:rsidP="00F06491">
      <w:pPr>
        <w:pStyle w:val="Doc-text2"/>
        <w:pBdr>
          <w:top w:val="single" w:sz="4" w:space="1" w:color="auto"/>
          <w:left w:val="single" w:sz="4" w:space="4" w:color="auto"/>
          <w:bottom w:val="single" w:sz="4" w:space="1" w:color="auto"/>
          <w:right w:val="single" w:sz="4" w:space="4" w:color="auto"/>
        </w:pBdr>
        <w:rPr>
          <w:sz w:val="20"/>
          <w:szCs w:val="20"/>
        </w:rPr>
      </w:pPr>
      <w:r w:rsidRPr="00F06491">
        <w:rPr>
          <w:sz w:val="20"/>
          <w:szCs w:val="20"/>
        </w:rPr>
        <w:t>5.</w:t>
      </w:r>
      <w:r w:rsidRPr="00F06491">
        <w:rPr>
          <w:sz w:val="20"/>
          <w:szCs w:val="20"/>
        </w:rPr>
        <w:tab/>
        <w:t xml:space="preserve">For the timer of </w:t>
      </w:r>
      <w:proofErr w:type="spellStart"/>
      <w:r w:rsidRPr="00F06491">
        <w:rPr>
          <w:sz w:val="20"/>
          <w:szCs w:val="20"/>
        </w:rPr>
        <w:t>ra-ResponseWindowSize</w:t>
      </w:r>
      <w:proofErr w:type="spellEnd"/>
      <w:r w:rsidRPr="00F06491">
        <w:rPr>
          <w:sz w:val="20"/>
          <w:szCs w:val="20"/>
        </w:rPr>
        <w:t xml:space="preserve"> and mac-</w:t>
      </w:r>
      <w:proofErr w:type="spellStart"/>
      <w:r w:rsidRPr="00F06491">
        <w:rPr>
          <w:sz w:val="20"/>
          <w:szCs w:val="20"/>
        </w:rPr>
        <w:t>ContentionResolutionTimer</w:t>
      </w:r>
      <w:proofErr w:type="spellEnd"/>
      <w:r w:rsidRPr="00F06491">
        <w:rPr>
          <w:sz w:val="20"/>
          <w:szCs w:val="20"/>
        </w:rPr>
        <w:t>, the absolute value limitation for FDD (i.e., 10.24s) is used for IoT NTN TDD.</w:t>
      </w:r>
    </w:p>
    <w:p w14:paraId="5C1A1F55" w14:textId="77777777" w:rsidR="00F06491" w:rsidRPr="00F06491" w:rsidRDefault="00F06491" w:rsidP="00F06491">
      <w:pPr>
        <w:pStyle w:val="Doc-text2"/>
        <w:pBdr>
          <w:top w:val="single" w:sz="4" w:space="1" w:color="auto"/>
          <w:left w:val="single" w:sz="4" w:space="4" w:color="auto"/>
          <w:bottom w:val="single" w:sz="4" w:space="1" w:color="auto"/>
          <w:right w:val="single" w:sz="4" w:space="4" w:color="auto"/>
        </w:pBdr>
        <w:rPr>
          <w:sz w:val="20"/>
          <w:szCs w:val="20"/>
        </w:rPr>
      </w:pPr>
      <w:r w:rsidRPr="00F06491">
        <w:rPr>
          <w:sz w:val="20"/>
          <w:szCs w:val="20"/>
        </w:rPr>
        <w:t>6.</w:t>
      </w:r>
      <w:r w:rsidRPr="00F06491">
        <w:rPr>
          <w:sz w:val="20"/>
          <w:szCs w:val="20"/>
        </w:rPr>
        <w:tab/>
        <w:t>In IoT-NTN TDD mode the same formula as for RA-RNTI calculation for FDD is reused</w:t>
      </w:r>
    </w:p>
    <w:p w14:paraId="7130F42A" w14:textId="77777777" w:rsidR="00F06491" w:rsidRPr="00F06491" w:rsidRDefault="00F06491" w:rsidP="00F06491">
      <w:pPr>
        <w:pStyle w:val="Doc-text2"/>
        <w:pBdr>
          <w:top w:val="single" w:sz="4" w:space="1" w:color="auto"/>
          <w:left w:val="single" w:sz="4" w:space="4" w:color="auto"/>
          <w:bottom w:val="single" w:sz="4" w:space="1" w:color="auto"/>
          <w:right w:val="single" w:sz="4" w:space="4" w:color="auto"/>
        </w:pBdr>
        <w:rPr>
          <w:sz w:val="20"/>
          <w:szCs w:val="20"/>
        </w:rPr>
      </w:pPr>
      <w:r w:rsidRPr="00F06491">
        <w:rPr>
          <w:sz w:val="20"/>
          <w:szCs w:val="20"/>
        </w:rPr>
        <w:t>7.</w:t>
      </w:r>
      <w:r w:rsidRPr="00F06491">
        <w:rPr>
          <w:sz w:val="20"/>
          <w:szCs w:val="20"/>
        </w:rPr>
        <w:tab/>
        <w:t xml:space="preserve">No extension is needed on the value range of timer in unit of </w:t>
      </w:r>
      <w:proofErr w:type="spellStart"/>
      <w:r w:rsidRPr="00F06491">
        <w:rPr>
          <w:sz w:val="20"/>
          <w:szCs w:val="20"/>
        </w:rPr>
        <w:t>ms</w:t>
      </w:r>
      <w:proofErr w:type="spellEnd"/>
      <w:r w:rsidRPr="00F06491">
        <w:rPr>
          <w:sz w:val="20"/>
          <w:szCs w:val="20"/>
        </w:rPr>
        <w:t xml:space="preserve"> or s for IoT NTN TDD</w:t>
      </w:r>
    </w:p>
    <w:p w14:paraId="7E13EBDC" w14:textId="77777777" w:rsidR="00F06491" w:rsidRPr="00F06491" w:rsidRDefault="00F06491" w:rsidP="00F06491">
      <w:pPr>
        <w:pStyle w:val="Doc-text2"/>
        <w:pBdr>
          <w:top w:val="single" w:sz="4" w:space="1" w:color="auto"/>
          <w:left w:val="single" w:sz="4" w:space="4" w:color="auto"/>
          <w:bottom w:val="single" w:sz="4" w:space="1" w:color="auto"/>
          <w:right w:val="single" w:sz="4" w:space="4" w:color="auto"/>
        </w:pBdr>
        <w:rPr>
          <w:sz w:val="20"/>
          <w:szCs w:val="20"/>
        </w:rPr>
      </w:pPr>
      <w:r w:rsidRPr="00F06491">
        <w:rPr>
          <w:sz w:val="20"/>
          <w:szCs w:val="20"/>
        </w:rPr>
        <w:t>8.</w:t>
      </w:r>
      <w:r w:rsidRPr="00F06491">
        <w:rPr>
          <w:sz w:val="20"/>
          <w:szCs w:val="20"/>
        </w:rPr>
        <w:tab/>
        <w:t>The remaining paging repetitions falling on the invalid DL SFNs are postponed to the next valid DL SFNs.</w:t>
      </w:r>
    </w:p>
    <w:p w14:paraId="5D4C59D2" w14:textId="77777777" w:rsidR="00F06491" w:rsidRPr="00F06491" w:rsidRDefault="00F06491" w:rsidP="00F06491">
      <w:pPr>
        <w:pStyle w:val="Doc-text2"/>
        <w:pBdr>
          <w:top w:val="single" w:sz="4" w:space="1" w:color="auto"/>
          <w:left w:val="single" w:sz="4" w:space="4" w:color="auto"/>
          <w:bottom w:val="single" w:sz="4" w:space="1" w:color="auto"/>
          <w:right w:val="single" w:sz="4" w:space="4" w:color="auto"/>
        </w:pBdr>
        <w:rPr>
          <w:sz w:val="20"/>
          <w:szCs w:val="20"/>
        </w:rPr>
      </w:pPr>
      <w:r w:rsidRPr="00F06491">
        <w:rPr>
          <w:sz w:val="20"/>
          <w:szCs w:val="20"/>
        </w:rPr>
        <w:t>9.</w:t>
      </w:r>
      <w:r w:rsidRPr="00F06491">
        <w:rPr>
          <w:sz w:val="20"/>
          <w:szCs w:val="20"/>
        </w:rPr>
        <w:tab/>
        <w:t>It is up to network to configure the gap between two POs (i.e., parameter NB) to be sufficiently long such that it includes enough number of valid DL subframes for NumRepetitionPaging-r13 (no spec impact)</w:t>
      </w:r>
    </w:p>
    <w:p w14:paraId="551EB3B7" w14:textId="77777777" w:rsidR="00F06491" w:rsidRPr="00F06491" w:rsidRDefault="00F06491" w:rsidP="00F06491">
      <w:pPr>
        <w:pStyle w:val="Doc-text2"/>
        <w:pBdr>
          <w:top w:val="single" w:sz="4" w:space="1" w:color="auto"/>
          <w:left w:val="single" w:sz="4" w:space="4" w:color="auto"/>
          <w:bottom w:val="single" w:sz="4" w:space="1" w:color="auto"/>
          <w:right w:val="single" w:sz="4" w:space="4" w:color="auto"/>
        </w:pBdr>
        <w:rPr>
          <w:sz w:val="20"/>
          <w:szCs w:val="20"/>
        </w:rPr>
      </w:pPr>
      <w:r w:rsidRPr="00F06491">
        <w:rPr>
          <w:sz w:val="20"/>
          <w:szCs w:val="20"/>
        </w:rPr>
        <w:t>10.</w:t>
      </w:r>
      <w:r w:rsidRPr="00F06491">
        <w:rPr>
          <w:sz w:val="20"/>
          <w:szCs w:val="20"/>
        </w:rPr>
        <w:tab/>
        <w:t>Introduce the following definition for IoT-NTN TDD mode in the impacted RAN2 specifications:</w:t>
      </w:r>
      <w:r w:rsidRPr="00F06491">
        <w:rPr>
          <w:sz w:val="20"/>
          <w:szCs w:val="20"/>
        </w:rPr>
        <w:br/>
        <w:t>IoT-NTN TDD mode: allows use of NB-IoT channels with TDD mode for NTN with fixed values of D non-overlapping usable contiguous DL subframes and set of U usable contiguous UL subframes separated by fixed guard period (can revisit this based on the TP being prepared by RAN1)</w:t>
      </w:r>
    </w:p>
    <w:p w14:paraId="15E158F0" w14:textId="77777777" w:rsidR="00F06491" w:rsidRPr="00F06491" w:rsidRDefault="00F06491" w:rsidP="00F06491">
      <w:pPr>
        <w:pStyle w:val="Doc-text2"/>
        <w:pBdr>
          <w:top w:val="single" w:sz="4" w:space="1" w:color="auto"/>
          <w:left w:val="single" w:sz="4" w:space="4" w:color="auto"/>
          <w:bottom w:val="single" w:sz="4" w:space="1" w:color="auto"/>
          <w:right w:val="single" w:sz="4" w:space="4" w:color="auto"/>
        </w:pBdr>
        <w:rPr>
          <w:sz w:val="20"/>
          <w:szCs w:val="20"/>
        </w:rPr>
      </w:pPr>
      <w:r w:rsidRPr="00F06491">
        <w:rPr>
          <w:sz w:val="20"/>
          <w:szCs w:val="20"/>
        </w:rPr>
        <w:t>11.</w:t>
      </w:r>
      <w:r w:rsidRPr="00F06491">
        <w:rPr>
          <w:sz w:val="20"/>
          <w:szCs w:val="20"/>
        </w:rPr>
        <w:tab/>
        <w:t xml:space="preserve">In Rel19, RAN2 will not work on any specific enhancements to ensure that the features being specified in IoT_NTN_Ph3-Core will also work for IoT NTN TDD mode </w:t>
      </w:r>
    </w:p>
    <w:p w14:paraId="011DA06B" w14:textId="77777777" w:rsidR="00F06491" w:rsidRPr="00F06491" w:rsidRDefault="00F06491" w:rsidP="00F06491">
      <w:pPr>
        <w:pStyle w:val="Doc-text2"/>
        <w:pBdr>
          <w:top w:val="single" w:sz="4" w:space="1" w:color="auto"/>
          <w:left w:val="single" w:sz="4" w:space="4" w:color="auto"/>
          <w:bottom w:val="single" w:sz="4" w:space="1" w:color="auto"/>
          <w:right w:val="single" w:sz="4" w:space="4" w:color="auto"/>
        </w:pBdr>
        <w:rPr>
          <w:sz w:val="20"/>
          <w:szCs w:val="20"/>
        </w:rPr>
      </w:pPr>
      <w:r w:rsidRPr="00F06491">
        <w:rPr>
          <w:sz w:val="20"/>
          <w:szCs w:val="20"/>
        </w:rPr>
        <w:t xml:space="preserve">12. In IoT_NTN_Ph3-Core, RAN2 will not work on any specific enhancements to ensure that the features being specified in IoT_NTN_Ph3-Core will also work for IoT NTN TDD mode. RAN2 understands that, as part of the </w:t>
      </w:r>
      <w:proofErr w:type="spellStart"/>
      <w:r w:rsidRPr="00F06491">
        <w:rPr>
          <w:sz w:val="20"/>
          <w:szCs w:val="20"/>
        </w:rPr>
        <w:t>IoT_NTN_TDD</w:t>
      </w:r>
      <w:proofErr w:type="spellEnd"/>
      <w:r w:rsidRPr="00F06491">
        <w:rPr>
          <w:sz w:val="20"/>
          <w:szCs w:val="20"/>
        </w:rPr>
        <w:t xml:space="preserve"> WI, we can discuss on a case by case basis whether minor specific enhancements – not affecting other WGs - can be supported to ensure that (some of) the features being specified in IoT_NTN_Ph3-Core will also work for IoT NTN TDD mode</w:t>
      </w:r>
    </w:p>
    <w:p w14:paraId="7200A613" w14:textId="2A6488FD" w:rsidR="002450FC" w:rsidRPr="002450FC" w:rsidRDefault="002450FC" w:rsidP="002450FC">
      <w:pPr>
        <w:pStyle w:val="Comments"/>
        <w:rPr>
          <w:rFonts w:eastAsiaTheme="minorEastAsia"/>
          <w:lang w:eastAsia="zh-CN"/>
        </w:rPr>
      </w:pPr>
    </w:p>
    <w:p w14:paraId="1DF0205D" w14:textId="1940DAA3" w:rsidR="002450FC" w:rsidRPr="008867C0" w:rsidRDefault="002450FC" w:rsidP="002450FC">
      <w:pPr>
        <w:pStyle w:val="Doc-text2"/>
        <w:pBdr>
          <w:top w:val="single" w:sz="4" w:space="1" w:color="auto"/>
          <w:left w:val="single" w:sz="4" w:space="4" w:color="auto"/>
          <w:bottom w:val="single" w:sz="4" w:space="1" w:color="auto"/>
          <w:right w:val="single" w:sz="4" w:space="4" w:color="auto"/>
        </w:pBdr>
      </w:pPr>
      <w:r w:rsidRPr="002450FC">
        <w:rPr>
          <w:b/>
          <w:bCs/>
          <w:sz w:val="20"/>
          <w:szCs w:val="20"/>
        </w:rPr>
        <w:t>Agreements</w:t>
      </w:r>
      <w:r>
        <w:rPr>
          <w:b/>
          <w:bCs/>
          <w:sz w:val="20"/>
          <w:szCs w:val="20"/>
        </w:rPr>
        <w:t xml:space="preserve"> in RAN2#131</w:t>
      </w:r>
      <w:r w:rsidRPr="002450FC">
        <w:rPr>
          <w:b/>
          <w:bCs/>
          <w:sz w:val="20"/>
          <w:szCs w:val="20"/>
        </w:rPr>
        <w:t>:</w:t>
      </w:r>
    </w:p>
    <w:p w14:paraId="20165432" w14:textId="77777777" w:rsidR="002450FC" w:rsidRPr="002450FC" w:rsidRDefault="002450FC" w:rsidP="002450FC">
      <w:pPr>
        <w:pStyle w:val="Doc-text2"/>
        <w:pBdr>
          <w:top w:val="single" w:sz="4" w:space="1" w:color="auto"/>
          <w:left w:val="single" w:sz="4" w:space="4" w:color="auto"/>
          <w:bottom w:val="single" w:sz="4" w:space="1" w:color="auto"/>
          <w:right w:val="single" w:sz="4" w:space="4" w:color="auto"/>
        </w:pBdr>
        <w:rPr>
          <w:sz w:val="20"/>
          <w:szCs w:val="20"/>
        </w:rPr>
      </w:pPr>
      <w:r w:rsidRPr="008867C0">
        <w:t>1.</w:t>
      </w:r>
      <w:r w:rsidRPr="008867C0">
        <w:tab/>
      </w:r>
      <w:r w:rsidRPr="002450FC">
        <w:rPr>
          <w:sz w:val="20"/>
          <w:szCs w:val="20"/>
        </w:rPr>
        <w:t>IoT NTN TDD mode capability is conditionally mandatory (as in the draft CR) if the UE supports the relevant TDD band</w:t>
      </w:r>
    </w:p>
    <w:p w14:paraId="13A8D5C9" w14:textId="77777777" w:rsidR="002450FC" w:rsidRPr="002450FC" w:rsidRDefault="002450FC" w:rsidP="002450FC">
      <w:pPr>
        <w:pStyle w:val="Doc-text2"/>
        <w:pBdr>
          <w:top w:val="single" w:sz="4" w:space="1" w:color="auto"/>
          <w:left w:val="single" w:sz="4" w:space="4" w:color="auto"/>
          <w:bottom w:val="single" w:sz="4" w:space="1" w:color="auto"/>
          <w:right w:val="single" w:sz="4" w:space="4" w:color="auto"/>
        </w:pBdr>
        <w:rPr>
          <w:sz w:val="20"/>
          <w:szCs w:val="20"/>
        </w:rPr>
      </w:pPr>
      <w:r w:rsidRPr="002450FC">
        <w:rPr>
          <w:sz w:val="20"/>
          <w:szCs w:val="20"/>
        </w:rPr>
        <w:t>2.</w:t>
      </w:r>
      <w:r w:rsidRPr="002450FC">
        <w:rPr>
          <w:sz w:val="20"/>
          <w:szCs w:val="20"/>
        </w:rPr>
        <w:tab/>
        <w:t>No need to introduce a new list of neighbour cells operating in TDD mode in Rel-19</w:t>
      </w:r>
    </w:p>
    <w:p w14:paraId="4F1E4EC5" w14:textId="77777777" w:rsidR="002450FC" w:rsidRPr="002450FC" w:rsidRDefault="002450FC" w:rsidP="002450FC">
      <w:pPr>
        <w:pStyle w:val="Doc-text2"/>
        <w:pBdr>
          <w:top w:val="single" w:sz="4" w:space="1" w:color="auto"/>
          <w:left w:val="single" w:sz="4" w:space="4" w:color="auto"/>
          <w:bottom w:val="single" w:sz="4" w:space="1" w:color="auto"/>
          <w:right w:val="single" w:sz="4" w:space="4" w:color="auto"/>
        </w:pBdr>
        <w:rPr>
          <w:sz w:val="20"/>
          <w:szCs w:val="20"/>
        </w:rPr>
      </w:pPr>
      <w:r w:rsidRPr="002450FC">
        <w:rPr>
          <w:sz w:val="20"/>
          <w:szCs w:val="20"/>
        </w:rPr>
        <w:t>3.</w:t>
      </w:r>
      <w:r w:rsidRPr="002450FC">
        <w:rPr>
          <w:sz w:val="20"/>
          <w:szCs w:val="20"/>
        </w:rPr>
        <w:tab/>
        <w:t xml:space="preserve">RAN2 assume that for IoT NTN TDD mode, serving cell and </w:t>
      </w:r>
      <w:proofErr w:type="spellStart"/>
      <w:r w:rsidRPr="002450FC">
        <w:rPr>
          <w:sz w:val="20"/>
          <w:szCs w:val="20"/>
        </w:rPr>
        <w:t>neighbor</w:t>
      </w:r>
      <w:proofErr w:type="spellEnd"/>
      <w:r w:rsidRPr="002450FC">
        <w:rPr>
          <w:sz w:val="20"/>
          <w:szCs w:val="20"/>
        </w:rPr>
        <w:t xml:space="preserve"> cells are not always synchronized.</w:t>
      </w:r>
    </w:p>
    <w:p w14:paraId="58C0B1BC" w14:textId="77777777" w:rsidR="002450FC" w:rsidRPr="002450FC" w:rsidRDefault="002450FC" w:rsidP="002450FC">
      <w:pPr>
        <w:pStyle w:val="Doc-text2"/>
        <w:pBdr>
          <w:top w:val="single" w:sz="4" w:space="1" w:color="auto"/>
          <w:left w:val="single" w:sz="4" w:space="4" w:color="auto"/>
          <w:bottom w:val="single" w:sz="4" w:space="1" w:color="auto"/>
          <w:right w:val="single" w:sz="4" w:space="4" w:color="auto"/>
        </w:pBdr>
        <w:rPr>
          <w:sz w:val="20"/>
          <w:szCs w:val="20"/>
        </w:rPr>
      </w:pPr>
      <w:r w:rsidRPr="002450FC">
        <w:rPr>
          <w:sz w:val="20"/>
          <w:szCs w:val="20"/>
        </w:rPr>
        <w:t>4.</w:t>
      </w:r>
      <w:r w:rsidRPr="002450FC">
        <w:rPr>
          <w:sz w:val="20"/>
          <w:szCs w:val="20"/>
        </w:rPr>
        <w:tab/>
        <w:t>There is no benefit in introducing a new idle mode DRX cycle length for IoT NTN TDD mode.</w:t>
      </w:r>
    </w:p>
    <w:p w14:paraId="736F4ECA" w14:textId="77777777" w:rsidR="002450FC" w:rsidRPr="002450FC" w:rsidRDefault="002450FC" w:rsidP="002450FC">
      <w:pPr>
        <w:pStyle w:val="Doc-text2"/>
        <w:pBdr>
          <w:top w:val="single" w:sz="4" w:space="1" w:color="auto"/>
          <w:left w:val="single" w:sz="4" w:space="4" w:color="auto"/>
          <w:bottom w:val="single" w:sz="4" w:space="1" w:color="auto"/>
          <w:right w:val="single" w:sz="4" w:space="4" w:color="auto"/>
        </w:pBdr>
        <w:rPr>
          <w:sz w:val="20"/>
          <w:szCs w:val="20"/>
        </w:rPr>
      </w:pPr>
      <w:r w:rsidRPr="002450FC">
        <w:rPr>
          <w:sz w:val="20"/>
          <w:szCs w:val="20"/>
        </w:rPr>
        <w:t>5.</w:t>
      </w:r>
      <w:r w:rsidRPr="002450FC">
        <w:rPr>
          <w:sz w:val="20"/>
          <w:szCs w:val="20"/>
        </w:rPr>
        <w:tab/>
        <w:t>There is no specification impact for RAN2 (36.304) related to paging scheduling.</w:t>
      </w:r>
    </w:p>
    <w:p w14:paraId="102E7EE4" w14:textId="77777777" w:rsidR="002450FC" w:rsidRPr="002450FC" w:rsidRDefault="002450FC" w:rsidP="002450FC">
      <w:pPr>
        <w:pStyle w:val="Doc-text2"/>
        <w:pBdr>
          <w:top w:val="single" w:sz="4" w:space="1" w:color="auto"/>
          <w:left w:val="single" w:sz="4" w:space="4" w:color="auto"/>
          <w:bottom w:val="single" w:sz="4" w:space="1" w:color="auto"/>
          <w:right w:val="single" w:sz="4" w:space="4" w:color="auto"/>
        </w:pBdr>
        <w:rPr>
          <w:sz w:val="20"/>
          <w:szCs w:val="20"/>
        </w:rPr>
      </w:pPr>
      <w:r w:rsidRPr="002450FC">
        <w:rPr>
          <w:sz w:val="20"/>
          <w:szCs w:val="20"/>
        </w:rPr>
        <w:t>6.</w:t>
      </w:r>
      <w:r w:rsidRPr="002450FC">
        <w:rPr>
          <w:sz w:val="20"/>
          <w:szCs w:val="20"/>
        </w:rPr>
        <w:tab/>
        <w:t>There is no specification change required in the existing SIB1 scheduling mechanism.</w:t>
      </w:r>
    </w:p>
    <w:p w14:paraId="62C6ACB2" w14:textId="77777777" w:rsidR="002450FC" w:rsidRPr="002450FC" w:rsidRDefault="002450FC" w:rsidP="002450FC">
      <w:pPr>
        <w:pStyle w:val="Doc-text2"/>
        <w:pBdr>
          <w:top w:val="single" w:sz="4" w:space="1" w:color="auto"/>
          <w:left w:val="single" w:sz="4" w:space="4" w:color="auto"/>
          <w:bottom w:val="single" w:sz="4" w:space="1" w:color="auto"/>
          <w:right w:val="single" w:sz="4" w:space="4" w:color="auto"/>
        </w:pBdr>
        <w:rPr>
          <w:sz w:val="20"/>
          <w:szCs w:val="20"/>
        </w:rPr>
      </w:pPr>
      <w:r w:rsidRPr="002450FC">
        <w:rPr>
          <w:sz w:val="20"/>
          <w:szCs w:val="20"/>
        </w:rPr>
        <w:t>7.</w:t>
      </w:r>
      <w:r w:rsidRPr="002450FC">
        <w:rPr>
          <w:sz w:val="20"/>
          <w:szCs w:val="20"/>
        </w:rPr>
        <w:tab/>
        <w:t xml:space="preserve">RAN2 assumes the network will take into account the invalid subframes when setting the explicit </w:t>
      </w:r>
      <w:proofErr w:type="spellStart"/>
      <w:r w:rsidRPr="002450FC">
        <w:rPr>
          <w:sz w:val="20"/>
          <w:szCs w:val="20"/>
        </w:rPr>
        <w:t>EpochTime</w:t>
      </w:r>
      <w:proofErr w:type="spellEnd"/>
    </w:p>
    <w:p w14:paraId="7ADC0785" w14:textId="77777777" w:rsidR="002450FC" w:rsidRPr="002450FC" w:rsidRDefault="002450FC" w:rsidP="002450FC">
      <w:pPr>
        <w:pStyle w:val="Doc-text2"/>
        <w:pBdr>
          <w:top w:val="single" w:sz="4" w:space="1" w:color="auto"/>
          <w:left w:val="single" w:sz="4" w:space="4" w:color="auto"/>
          <w:bottom w:val="single" w:sz="4" w:space="1" w:color="auto"/>
          <w:right w:val="single" w:sz="4" w:space="4" w:color="auto"/>
        </w:pBdr>
        <w:rPr>
          <w:sz w:val="20"/>
          <w:szCs w:val="20"/>
        </w:rPr>
      </w:pPr>
      <w:r w:rsidRPr="002450FC">
        <w:rPr>
          <w:sz w:val="20"/>
          <w:szCs w:val="20"/>
        </w:rPr>
        <w:t>8.</w:t>
      </w:r>
      <w:r w:rsidRPr="002450FC">
        <w:rPr>
          <w:sz w:val="20"/>
          <w:szCs w:val="20"/>
        </w:rPr>
        <w:tab/>
        <w:t>RAN2 assumes that OCC defined for IoT NTN Rel-19 can be supported for IoT NTN TDD mode but ask RAN1 for confirmation</w:t>
      </w:r>
    </w:p>
    <w:p w14:paraId="661977DE" w14:textId="77777777" w:rsidR="002450FC" w:rsidRPr="002450FC" w:rsidRDefault="002450FC" w:rsidP="002450FC">
      <w:pPr>
        <w:pStyle w:val="Doc-text2"/>
        <w:pBdr>
          <w:top w:val="single" w:sz="4" w:space="1" w:color="auto"/>
          <w:left w:val="single" w:sz="4" w:space="4" w:color="auto"/>
          <w:bottom w:val="single" w:sz="4" w:space="1" w:color="auto"/>
          <w:right w:val="single" w:sz="4" w:space="4" w:color="auto"/>
        </w:pBdr>
        <w:rPr>
          <w:sz w:val="20"/>
          <w:szCs w:val="20"/>
        </w:rPr>
      </w:pPr>
      <w:r w:rsidRPr="002450FC">
        <w:rPr>
          <w:sz w:val="20"/>
          <w:szCs w:val="20"/>
        </w:rPr>
        <w:t>9.</w:t>
      </w:r>
      <w:r w:rsidRPr="002450FC">
        <w:rPr>
          <w:sz w:val="20"/>
          <w:szCs w:val="20"/>
        </w:rPr>
        <w:tab/>
        <w:t xml:space="preserve">We aim at introducing the needed changes (if any) to support CB-Msg3 and CB-Msg4 for IoT NTN TDD mode during the ASN.1 review, including at least </w:t>
      </w:r>
    </w:p>
    <w:p w14:paraId="7A1877E8" w14:textId="77777777" w:rsidR="002450FC" w:rsidRPr="002450FC" w:rsidRDefault="002450FC" w:rsidP="002450FC">
      <w:pPr>
        <w:pStyle w:val="Doc-text2"/>
        <w:pBdr>
          <w:top w:val="single" w:sz="4" w:space="1" w:color="auto"/>
          <w:left w:val="single" w:sz="4" w:space="4" w:color="auto"/>
          <w:bottom w:val="single" w:sz="4" w:space="1" w:color="auto"/>
          <w:right w:val="single" w:sz="4" w:space="4" w:color="auto"/>
        </w:pBdr>
        <w:rPr>
          <w:sz w:val="20"/>
          <w:szCs w:val="20"/>
        </w:rPr>
      </w:pPr>
      <w:r w:rsidRPr="002450FC">
        <w:rPr>
          <w:sz w:val="20"/>
          <w:szCs w:val="20"/>
        </w:rPr>
        <w:tab/>
        <w:t xml:space="preserve">Adding configurations that are aligned with the 90 </w:t>
      </w:r>
      <w:proofErr w:type="spellStart"/>
      <w:r w:rsidRPr="002450FC">
        <w:rPr>
          <w:sz w:val="20"/>
          <w:szCs w:val="20"/>
        </w:rPr>
        <w:t>ms</w:t>
      </w:r>
      <w:proofErr w:type="spellEnd"/>
      <w:r w:rsidRPr="002450FC">
        <w:rPr>
          <w:sz w:val="20"/>
          <w:szCs w:val="20"/>
        </w:rPr>
        <w:t xml:space="preserve"> periodicity for </w:t>
      </w:r>
      <w:proofErr w:type="spellStart"/>
      <w:r w:rsidRPr="002450FC">
        <w:rPr>
          <w:sz w:val="20"/>
          <w:szCs w:val="20"/>
        </w:rPr>
        <w:t>npusch</w:t>
      </w:r>
      <w:proofErr w:type="spellEnd"/>
      <w:r w:rsidRPr="002450FC">
        <w:rPr>
          <w:sz w:val="20"/>
          <w:szCs w:val="20"/>
        </w:rPr>
        <w:t xml:space="preserve">-Periodicity and </w:t>
      </w:r>
      <w:proofErr w:type="spellStart"/>
      <w:r w:rsidRPr="002450FC">
        <w:rPr>
          <w:sz w:val="20"/>
          <w:szCs w:val="20"/>
        </w:rPr>
        <w:t>windowPeriodicity</w:t>
      </w:r>
      <w:proofErr w:type="spellEnd"/>
      <w:r w:rsidRPr="002450FC">
        <w:rPr>
          <w:sz w:val="20"/>
          <w:szCs w:val="20"/>
        </w:rPr>
        <w:t>-NB</w:t>
      </w:r>
    </w:p>
    <w:p w14:paraId="17BCED94" w14:textId="77777777" w:rsidR="002450FC" w:rsidRPr="002450FC" w:rsidRDefault="002450FC" w:rsidP="002450FC">
      <w:pPr>
        <w:pStyle w:val="Doc-text2"/>
        <w:pBdr>
          <w:top w:val="single" w:sz="4" w:space="1" w:color="auto"/>
          <w:left w:val="single" w:sz="4" w:space="4" w:color="auto"/>
          <w:bottom w:val="single" w:sz="4" w:space="1" w:color="auto"/>
          <w:right w:val="single" w:sz="4" w:space="4" w:color="auto"/>
        </w:pBdr>
        <w:rPr>
          <w:sz w:val="20"/>
          <w:szCs w:val="20"/>
        </w:rPr>
      </w:pPr>
      <w:r w:rsidRPr="002450FC">
        <w:rPr>
          <w:sz w:val="20"/>
          <w:szCs w:val="20"/>
        </w:rPr>
        <w:tab/>
        <w:t>(FFS other needed enhancements based on the progress of the CB-Msg3-EDT discussion this week)</w:t>
      </w:r>
    </w:p>
    <w:p w14:paraId="45F308A1" w14:textId="77777777" w:rsidR="002450FC" w:rsidRPr="002450FC" w:rsidRDefault="002450FC" w:rsidP="002450FC">
      <w:pPr>
        <w:pStyle w:val="Doc-text2"/>
        <w:pBdr>
          <w:top w:val="single" w:sz="4" w:space="1" w:color="auto"/>
          <w:left w:val="single" w:sz="4" w:space="4" w:color="auto"/>
          <w:bottom w:val="single" w:sz="4" w:space="1" w:color="auto"/>
          <w:right w:val="single" w:sz="4" w:space="4" w:color="auto"/>
        </w:pBdr>
        <w:rPr>
          <w:sz w:val="20"/>
          <w:szCs w:val="20"/>
        </w:rPr>
      </w:pPr>
      <w:r w:rsidRPr="002450FC">
        <w:rPr>
          <w:sz w:val="20"/>
          <w:szCs w:val="20"/>
        </w:rPr>
        <w:t>10.</w:t>
      </w:r>
      <w:r w:rsidRPr="002450FC">
        <w:rPr>
          <w:sz w:val="20"/>
          <w:szCs w:val="20"/>
        </w:rPr>
        <w:tab/>
        <w:t>IoT NTN PWS Rel-19 can be supported in IoT NTN TDD (no spec impact)</w:t>
      </w:r>
    </w:p>
    <w:p w14:paraId="01FEDEF3" w14:textId="42872857" w:rsidR="002450FC" w:rsidRPr="002450FC" w:rsidRDefault="002450FC" w:rsidP="002450FC">
      <w:pPr>
        <w:pStyle w:val="Doc-text2"/>
        <w:pBdr>
          <w:top w:val="single" w:sz="4" w:space="1" w:color="auto"/>
          <w:left w:val="single" w:sz="4" w:space="4" w:color="auto"/>
          <w:bottom w:val="single" w:sz="4" w:space="1" w:color="auto"/>
          <w:right w:val="single" w:sz="4" w:space="4" w:color="auto"/>
        </w:pBdr>
        <w:rPr>
          <w:sz w:val="20"/>
          <w:szCs w:val="20"/>
        </w:rPr>
      </w:pPr>
      <w:r w:rsidRPr="002450FC">
        <w:rPr>
          <w:sz w:val="20"/>
          <w:szCs w:val="20"/>
        </w:rPr>
        <w:t>11.</w:t>
      </w:r>
      <w:r w:rsidRPr="002450FC">
        <w:rPr>
          <w:sz w:val="20"/>
          <w:szCs w:val="20"/>
        </w:rPr>
        <w:tab/>
        <w:t xml:space="preserve">TDD radio frame offset between serving cell and </w:t>
      </w:r>
      <w:proofErr w:type="spellStart"/>
      <w:r w:rsidRPr="002450FC">
        <w:rPr>
          <w:sz w:val="20"/>
          <w:szCs w:val="20"/>
        </w:rPr>
        <w:t>neighbor</w:t>
      </w:r>
      <w:proofErr w:type="spellEnd"/>
      <w:r w:rsidRPr="002450FC">
        <w:rPr>
          <w:sz w:val="20"/>
          <w:szCs w:val="20"/>
        </w:rPr>
        <w:t xml:space="preserve"> cell(s) can be provided via SIB33 to the UE for </w:t>
      </w:r>
      <w:proofErr w:type="spellStart"/>
      <w:r w:rsidRPr="002450FC">
        <w:rPr>
          <w:sz w:val="20"/>
          <w:szCs w:val="20"/>
        </w:rPr>
        <w:t>neighbor</w:t>
      </w:r>
      <w:proofErr w:type="spellEnd"/>
      <w:r w:rsidRPr="002450FC">
        <w:rPr>
          <w:sz w:val="20"/>
          <w:szCs w:val="20"/>
        </w:rPr>
        <w:t xml:space="preserve"> cell measurement.</w:t>
      </w:r>
    </w:p>
    <w:p w14:paraId="4AB2900E" w14:textId="780E698C" w:rsidR="004E4CBB" w:rsidRDefault="003E7A3F" w:rsidP="00E54656">
      <w:r>
        <w:rPr>
          <w:lang w:eastAsia="ko-KR"/>
        </w:rPr>
        <w:t>In this contribution, we</w:t>
      </w:r>
      <w:r w:rsidR="003D1DDD">
        <w:rPr>
          <w:lang w:eastAsia="ko-KR"/>
        </w:rPr>
        <w:t xml:space="preserve"> </w:t>
      </w:r>
      <w:r w:rsidR="00DD48E0">
        <w:rPr>
          <w:lang w:eastAsia="ko-KR"/>
        </w:rPr>
        <w:t>further</w:t>
      </w:r>
      <w:r w:rsidR="003D1DDD">
        <w:rPr>
          <w:lang w:eastAsia="ko-KR"/>
        </w:rPr>
        <w:t xml:space="preserve"> discuss</w:t>
      </w:r>
      <w:r w:rsidR="004E4CBB">
        <w:rPr>
          <w:rFonts w:hint="eastAsia"/>
        </w:rPr>
        <w:t xml:space="preserve"> </w:t>
      </w:r>
      <w:r w:rsidR="00DD48E0">
        <w:t xml:space="preserve">left open issues on </w:t>
      </w:r>
      <w:r w:rsidR="00084466" w:rsidRPr="006B2F9F">
        <w:t>TDD support for NB IoT NTN</w:t>
      </w:r>
      <w:r w:rsidR="00084466">
        <w:t xml:space="preserve"> and present our view.</w:t>
      </w:r>
    </w:p>
    <w:p w14:paraId="1789EBA3" w14:textId="31AA0D70" w:rsidR="00A3068F" w:rsidRPr="00883150" w:rsidRDefault="0049681A" w:rsidP="00883150">
      <w:pPr>
        <w:pStyle w:val="1"/>
      </w:pPr>
      <w:bookmarkStart w:id="4" w:name="_Toc131757145"/>
      <w:bookmarkEnd w:id="2"/>
      <w:r>
        <w:rPr>
          <w:rFonts w:hint="eastAsia"/>
        </w:rPr>
        <w:t>D</w:t>
      </w:r>
      <w:r>
        <w:t>iscussion</w:t>
      </w:r>
      <w:bookmarkEnd w:id="4"/>
      <w:r w:rsidR="0073288F">
        <w:t xml:space="preserve"> </w:t>
      </w:r>
    </w:p>
    <w:p w14:paraId="2C21495F" w14:textId="27301525" w:rsidR="00736AAB" w:rsidRDefault="00736AAB" w:rsidP="005A5587">
      <w:pPr>
        <w:pStyle w:val="Proposal"/>
        <w:numPr>
          <w:ilvl w:val="0"/>
          <w:numId w:val="0"/>
        </w:numPr>
        <w:rPr>
          <w:b w:val="0"/>
          <w:bCs w:val="0"/>
          <w:lang w:val="en-US"/>
        </w:rPr>
      </w:pPr>
      <w:r>
        <w:rPr>
          <w:b w:val="0"/>
          <w:bCs w:val="0"/>
          <w:lang w:val="en-US"/>
        </w:rPr>
        <w:t>In RAN1#120bis, RAN1 made the following agreements regarding NPRACH transmission in NTN TDD mode.</w:t>
      </w:r>
    </w:p>
    <w:tbl>
      <w:tblPr>
        <w:tblStyle w:val="aff9"/>
        <w:tblW w:w="0" w:type="auto"/>
        <w:tblLook w:val="04A0" w:firstRow="1" w:lastRow="0" w:firstColumn="1" w:lastColumn="0" w:noHBand="0" w:noVBand="1"/>
      </w:tblPr>
      <w:tblGrid>
        <w:gridCol w:w="9629"/>
      </w:tblGrid>
      <w:tr w:rsidR="00736AAB" w14:paraId="723B1250" w14:textId="77777777" w:rsidTr="00736AAB">
        <w:tc>
          <w:tcPr>
            <w:tcW w:w="9629" w:type="dxa"/>
          </w:tcPr>
          <w:p w14:paraId="5F3A8BAF" w14:textId="77777777" w:rsidR="00736AAB" w:rsidRPr="00FE48E1" w:rsidRDefault="00736AAB" w:rsidP="00736AAB">
            <w:pPr>
              <w:snapToGrid w:val="0"/>
              <w:jc w:val="left"/>
              <w:rPr>
                <w:rFonts w:ascii="Times" w:eastAsia="Batang" w:hAnsi="Times"/>
                <w:b/>
                <w:bCs/>
                <w:szCs w:val="24"/>
                <w:lang w:eastAsia="en-US"/>
              </w:rPr>
            </w:pPr>
            <w:r w:rsidRPr="00FE48E1">
              <w:rPr>
                <w:rFonts w:ascii="Times" w:eastAsia="Batang" w:hAnsi="Times"/>
                <w:b/>
                <w:bCs/>
                <w:szCs w:val="24"/>
                <w:highlight w:val="green"/>
                <w:lang w:eastAsia="en-US"/>
              </w:rPr>
              <w:t>Agreement</w:t>
            </w:r>
          </w:p>
          <w:p w14:paraId="640DA5E5" w14:textId="77777777" w:rsidR="00736AAB" w:rsidRPr="00FE48E1" w:rsidRDefault="00736AAB" w:rsidP="00736AAB">
            <w:pPr>
              <w:snapToGrid w:val="0"/>
              <w:jc w:val="left"/>
              <w:rPr>
                <w:rFonts w:ascii="Times" w:eastAsia="Batang" w:hAnsi="Times"/>
                <w:bCs/>
                <w:szCs w:val="24"/>
                <w:lang w:eastAsia="en-US"/>
              </w:rPr>
            </w:pPr>
            <w:r w:rsidRPr="00FE48E1">
              <w:rPr>
                <w:rFonts w:ascii="Times" w:eastAsia="Batang" w:hAnsi="Times"/>
                <w:bCs/>
                <w:szCs w:val="24"/>
                <w:lang w:eastAsia="en-US"/>
              </w:rPr>
              <w:lastRenderedPageBreak/>
              <w:t>NPRACH transmissions are postponed in non-U NB-IoT subframes until the next U NB-IoT subframe(s). The unit of postponement is one PRU.</w:t>
            </w:r>
          </w:p>
          <w:p w14:paraId="7AA21C8D" w14:textId="77777777" w:rsidR="00736AAB" w:rsidRPr="00FE48E1" w:rsidRDefault="00736AAB" w:rsidP="00F257BC">
            <w:pPr>
              <w:numPr>
                <w:ilvl w:val="0"/>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0"/>
              <w:jc w:val="left"/>
              <w:textAlignment w:val="baseline"/>
              <w:rPr>
                <w:rFonts w:ascii="Times" w:eastAsia="Batang" w:hAnsi="Times"/>
                <w:bCs/>
                <w:szCs w:val="24"/>
              </w:rPr>
            </w:pPr>
            <w:r w:rsidRPr="00FE48E1">
              <w:rPr>
                <w:rFonts w:ascii="Times" w:eastAsia="Batang" w:hAnsi="Times"/>
                <w:bCs/>
                <w:szCs w:val="24"/>
              </w:rPr>
              <w:t>NOTE: “U NB-IoT subframes” are subframes contained within the set of U=8 usable consecutive uplink subframes in the TDD structure.</w:t>
            </w:r>
          </w:p>
          <w:p w14:paraId="382E4FAC" w14:textId="77777777" w:rsidR="00736AAB" w:rsidRPr="00FE48E1" w:rsidRDefault="00736AAB" w:rsidP="00736AAB">
            <w:pPr>
              <w:overflowPunct w:val="0"/>
              <w:autoSpaceDE w:val="0"/>
              <w:autoSpaceDN w:val="0"/>
              <w:adjustRightInd w:val="0"/>
              <w:snapToGrid w:val="0"/>
              <w:jc w:val="left"/>
              <w:textAlignment w:val="baseline"/>
              <w:rPr>
                <w:rFonts w:ascii="Times" w:eastAsia="Batang" w:hAnsi="Times"/>
                <w:bCs/>
                <w:szCs w:val="24"/>
              </w:rPr>
            </w:pPr>
            <w:r w:rsidRPr="00FE48E1">
              <w:rPr>
                <w:rFonts w:ascii="Times" w:eastAsia="Batang" w:hAnsi="Times"/>
                <w:bCs/>
                <w:szCs w:val="24"/>
              </w:rPr>
              <w:t>NPRACH periodicities of 40ms and 80ms are not supported in NB-IoT NTN TDD mode</w:t>
            </w:r>
          </w:p>
          <w:p w14:paraId="1ABD7B97" w14:textId="59A6F9DD" w:rsidR="00736AAB" w:rsidRPr="00736AAB" w:rsidRDefault="00736AAB" w:rsidP="00F257BC">
            <w:pPr>
              <w:numPr>
                <w:ilvl w:val="0"/>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0"/>
              <w:jc w:val="left"/>
              <w:textAlignment w:val="baseline"/>
              <w:rPr>
                <w:rFonts w:ascii="Times" w:eastAsia="Batang" w:hAnsi="Times"/>
                <w:bCs/>
                <w:szCs w:val="24"/>
              </w:rPr>
            </w:pPr>
            <w:r w:rsidRPr="00FE48E1">
              <w:rPr>
                <w:rFonts w:ascii="Times" w:eastAsia="等线" w:hAnsi="Times"/>
                <w:bCs/>
                <w:szCs w:val="24"/>
              </w:rPr>
              <w:t>Instead, periodicities of 90ms and 180ms are supported</w:t>
            </w:r>
          </w:p>
        </w:tc>
      </w:tr>
    </w:tbl>
    <w:p w14:paraId="4C53E5B6" w14:textId="4B63FEE9" w:rsidR="00736AAB" w:rsidRDefault="00736AAB" w:rsidP="005A5587">
      <w:pPr>
        <w:pStyle w:val="Proposal"/>
        <w:numPr>
          <w:ilvl w:val="0"/>
          <w:numId w:val="0"/>
        </w:numPr>
        <w:rPr>
          <w:b w:val="0"/>
          <w:bCs w:val="0"/>
          <w:lang w:val="en-US"/>
        </w:rPr>
      </w:pPr>
    </w:p>
    <w:p w14:paraId="563708AF" w14:textId="1C78E12B" w:rsidR="00736AAB" w:rsidRDefault="00736AAB" w:rsidP="005A5587">
      <w:pPr>
        <w:pStyle w:val="Proposal"/>
        <w:numPr>
          <w:ilvl w:val="0"/>
          <w:numId w:val="0"/>
        </w:numPr>
        <w:rPr>
          <w:b w:val="0"/>
          <w:bCs w:val="0"/>
        </w:rPr>
      </w:pPr>
      <w:r>
        <w:rPr>
          <w:b w:val="0"/>
          <w:bCs w:val="0"/>
          <w:lang w:val="en-US"/>
        </w:rPr>
        <w:t>Based on RAN1 agreements, in NTN TDD mode, the minimum NPRACH periodicity is 90ms, which is equal to the TDD frame periodicity, so in each periodicity of 90ms, there would be at most one NPRACH transmission in non-U NB-I</w:t>
      </w:r>
      <w:r>
        <w:rPr>
          <w:rFonts w:hint="eastAsia"/>
          <w:b w:val="0"/>
          <w:bCs w:val="0"/>
          <w:lang w:val="en-US"/>
        </w:rPr>
        <w:t>o</w:t>
      </w:r>
      <w:r>
        <w:rPr>
          <w:b w:val="0"/>
          <w:bCs w:val="0"/>
          <w:lang w:val="en-US"/>
        </w:rPr>
        <w:t>T subframes to be postponed to the next U NB-I</w:t>
      </w:r>
      <w:r>
        <w:rPr>
          <w:rFonts w:hint="eastAsia"/>
          <w:b w:val="0"/>
          <w:bCs w:val="0"/>
          <w:lang w:val="en-US"/>
        </w:rPr>
        <w:t>o</w:t>
      </w:r>
      <w:r>
        <w:rPr>
          <w:b w:val="0"/>
          <w:bCs w:val="0"/>
          <w:lang w:val="en-US"/>
        </w:rPr>
        <w:t xml:space="preserve">T subframes. Therefore, there is no </w:t>
      </w:r>
      <w:r w:rsidRPr="00736AAB">
        <w:rPr>
          <w:b w:val="0"/>
          <w:bCs w:val="0"/>
        </w:rPr>
        <w:t>collision</w:t>
      </w:r>
      <w:r>
        <w:rPr>
          <w:b w:val="0"/>
          <w:bCs w:val="0"/>
        </w:rPr>
        <w:t xml:space="preserve"> for NPRACH transmission.</w:t>
      </w:r>
    </w:p>
    <w:p w14:paraId="053AC719" w14:textId="164B725E" w:rsidR="005E18B8" w:rsidRPr="00A3068F" w:rsidRDefault="00736AAB" w:rsidP="00A3068F">
      <w:pPr>
        <w:pStyle w:val="Observation"/>
        <w:numPr>
          <w:ilvl w:val="0"/>
          <w:numId w:val="21"/>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spacing w:beforeLines="0" w:before="0"/>
        <w:ind w:left="1701" w:hanging="1701"/>
        <w:textAlignment w:val="baseline"/>
      </w:pPr>
      <w:r>
        <w:t>There</w:t>
      </w:r>
      <w:r w:rsidR="008D50C8" w:rsidRPr="008D50C8">
        <w:t xml:space="preserve"> is no collision issue </w:t>
      </w:r>
      <w:r>
        <w:t>for NPRACH transmission.</w:t>
      </w:r>
    </w:p>
    <w:p w14:paraId="58664D86" w14:textId="57467AB4" w:rsidR="005E18B8" w:rsidRPr="00C90D2B" w:rsidRDefault="00B55E8F" w:rsidP="00C90D2B">
      <w:pPr>
        <w:pStyle w:val="affa"/>
        <w:rPr>
          <w:rFonts w:ascii="Arial" w:hAnsi="Arial" w:cs="Arial"/>
          <w:sz w:val="20"/>
          <w:szCs w:val="20"/>
        </w:rPr>
      </w:pPr>
      <w:r w:rsidRPr="007E3821">
        <w:rPr>
          <w:rFonts w:ascii="Arial" w:hAnsi="Arial" w:cs="Times New Roman"/>
          <w:sz w:val="20"/>
          <w:szCs w:val="22"/>
        </w:rPr>
        <w:t>R</w:t>
      </w:r>
      <w:r w:rsidRPr="007E3821">
        <w:rPr>
          <w:rFonts w:ascii="Arial" w:hAnsi="Arial" w:cs="Times New Roman" w:hint="eastAsia"/>
          <w:sz w:val="20"/>
          <w:szCs w:val="22"/>
        </w:rPr>
        <w:t>egarding</w:t>
      </w:r>
      <w:r w:rsidRPr="007E3821">
        <w:rPr>
          <w:rFonts w:ascii="Arial" w:hAnsi="Arial" w:cs="Times New Roman"/>
          <w:sz w:val="20"/>
          <w:szCs w:val="22"/>
        </w:rPr>
        <w:t xml:space="preserve"> ULSPS</w:t>
      </w:r>
      <w:r w:rsidRPr="007E3821">
        <w:rPr>
          <w:rFonts w:ascii="Arial" w:hAnsi="Arial" w:cs="Times New Roman" w:hint="eastAsia"/>
          <w:sz w:val="20"/>
          <w:szCs w:val="22"/>
        </w:rPr>
        <w:t>，</w:t>
      </w:r>
      <w:r w:rsidR="005E18B8" w:rsidRPr="007E3821">
        <w:rPr>
          <w:rFonts w:ascii="Arial" w:hAnsi="Arial" w:cs="Times New Roman"/>
          <w:sz w:val="20"/>
          <w:szCs w:val="22"/>
        </w:rPr>
        <w:t>RAN2 has agreed that when the UL SPS overlaps with non-U NB-IoT subframes UE postpones the UL SPS resource to the next U subframe, so there may be SPS collision between different UEs.</w:t>
      </w:r>
      <w:r w:rsidRPr="007E3821">
        <w:rPr>
          <w:rFonts w:ascii="Arial" w:hAnsi="Arial" w:cs="Times New Roman"/>
          <w:sz w:val="20"/>
          <w:szCs w:val="22"/>
        </w:rPr>
        <w:t xml:space="preserve"> </w:t>
      </w:r>
      <w:r w:rsidR="00A0417E" w:rsidRPr="007E3821">
        <w:rPr>
          <w:rFonts w:ascii="Arial" w:hAnsi="Arial" w:cs="Times New Roman"/>
          <w:sz w:val="20"/>
          <w:szCs w:val="22"/>
        </w:rPr>
        <w:t xml:space="preserve">As UE cannot be aware of the UL SPS collision, it should be up to network configuration to avoid this collision, </w:t>
      </w:r>
      <w:proofErr w:type="spellStart"/>
      <w:r w:rsidR="00A0417E" w:rsidRPr="007E3821">
        <w:rPr>
          <w:rFonts w:ascii="Arial" w:hAnsi="Arial" w:cs="Times New Roman"/>
          <w:sz w:val="20"/>
          <w:szCs w:val="22"/>
        </w:rPr>
        <w:t>e.g</w:t>
      </w:r>
      <w:r w:rsidR="00F77CC1">
        <w:rPr>
          <w:rFonts w:ascii="Arial" w:hAnsi="Arial" w:cs="Times New Roman"/>
          <w:sz w:val="20"/>
          <w:szCs w:val="22"/>
        </w:rPr>
        <w:t>.</w:t>
      </w:r>
      <w:r w:rsidR="00A0417E" w:rsidRPr="007E3821">
        <w:rPr>
          <w:rFonts w:ascii="Arial" w:hAnsi="Arial" w:cs="Times New Roman"/>
          <w:sz w:val="20"/>
          <w:szCs w:val="22"/>
        </w:rPr>
        <w:t>UE</w:t>
      </w:r>
      <w:proofErr w:type="spellEnd"/>
      <w:r w:rsidR="00A0417E" w:rsidRPr="007E3821">
        <w:rPr>
          <w:rFonts w:ascii="Arial" w:hAnsi="Arial" w:cs="Times New Roman"/>
          <w:sz w:val="20"/>
          <w:szCs w:val="22"/>
        </w:rPr>
        <w:t xml:space="preserve"> can be configured with a (starting) subframe id within the 8 UL NB-I</w:t>
      </w:r>
      <w:r w:rsidR="00A0417E" w:rsidRPr="007E3821">
        <w:rPr>
          <w:rFonts w:ascii="Arial" w:hAnsi="Arial" w:cs="Times New Roman" w:hint="eastAsia"/>
          <w:sz w:val="20"/>
          <w:szCs w:val="22"/>
        </w:rPr>
        <w:t>o</w:t>
      </w:r>
      <w:r w:rsidR="00A0417E" w:rsidRPr="007E3821">
        <w:rPr>
          <w:rFonts w:ascii="Arial" w:hAnsi="Arial" w:cs="Times New Roman"/>
          <w:sz w:val="20"/>
          <w:szCs w:val="22"/>
        </w:rPr>
        <w:t>T subframes for UL SPS transmission</w:t>
      </w:r>
      <w:r w:rsidR="007E3821" w:rsidRPr="007E3821">
        <w:rPr>
          <w:rFonts w:ascii="Arial" w:hAnsi="Arial" w:cs="Times New Roman"/>
          <w:sz w:val="20"/>
          <w:szCs w:val="22"/>
        </w:rPr>
        <w:t xml:space="preserve">. </w:t>
      </w:r>
      <w:r w:rsidR="00F77CC1">
        <w:rPr>
          <w:rFonts w:ascii="Arial" w:hAnsi="Arial" w:cs="Times New Roman"/>
          <w:sz w:val="20"/>
          <w:szCs w:val="22"/>
        </w:rPr>
        <w:t>Since</w:t>
      </w:r>
      <w:r w:rsidR="007E3821" w:rsidRPr="007E3821">
        <w:rPr>
          <w:rFonts w:ascii="Arial" w:hAnsi="Arial" w:cs="Times New Roman"/>
          <w:sz w:val="20"/>
          <w:szCs w:val="22"/>
        </w:rPr>
        <w:t xml:space="preserve"> there </w:t>
      </w:r>
      <w:r w:rsidR="00F77CC1">
        <w:rPr>
          <w:rFonts w:ascii="Arial" w:hAnsi="Arial" w:cs="Times New Roman"/>
          <w:sz w:val="20"/>
          <w:szCs w:val="22"/>
        </w:rPr>
        <w:t>are</w:t>
      </w:r>
      <w:r w:rsidR="007E3821" w:rsidRPr="007E3821">
        <w:rPr>
          <w:rFonts w:ascii="Arial" w:hAnsi="Arial" w:cs="Times New Roman"/>
          <w:sz w:val="20"/>
          <w:szCs w:val="22"/>
        </w:rPr>
        <w:t xml:space="preserve"> </w:t>
      </w:r>
      <w:r w:rsidR="00F77CC1">
        <w:rPr>
          <w:rFonts w:ascii="Arial" w:hAnsi="Arial" w:cs="Times New Roman"/>
          <w:sz w:val="20"/>
          <w:szCs w:val="22"/>
        </w:rPr>
        <w:t>also</w:t>
      </w:r>
      <w:r w:rsidR="007E3821" w:rsidRPr="007E3821">
        <w:rPr>
          <w:rFonts w:ascii="Arial" w:hAnsi="Arial" w:cs="Times New Roman"/>
          <w:sz w:val="20"/>
          <w:szCs w:val="22"/>
        </w:rPr>
        <w:t xml:space="preserve"> </w:t>
      </w:r>
      <w:r w:rsidR="00F77CC1">
        <w:rPr>
          <w:rFonts w:ascii="Arial" w:hAnsi="Arial" w:cs="Times New Roman"/>
          <w:sz w:val="20"/>
          <w:szCs w:val="22"/>
        </w:rPr>
        <w:t xml:space="preserve">UL </w:t>
      </w:r>
      <w:r w:rsidR="007E3821" w:rsidRPr="007E3821">
        <w:rPr>
          <w:rFonts w:ascii="Arial" w:hAnsi="Arial" w:cs="Times New Roman"/>
          <w:sz w:val="20"/>
          <w:szCs w:val="22"/>
        </w:rPr>
        <w:t xml:space="preserve">SPS </w:t>
      </w:r>
      <w:r w:rsidR="00F77CC1">
        <w:rPr>
          <w:rFonts w:ascii="Arial" w:hAnsi="Arial" w:cs="Times New Roman"/>
          <w:sz w:val="20"/>
          <w:szCs w:val="22"/>
        </w:rPr>
        <w:t xml:space="preserve">occasions </w:t>
      </w:r>
      <w:r w:rsidR="007E3821" w:rsidRPr="007E3821">
        <w:rPr>
          <w:rFonts w:ascii="Arial" w:hAnsi="Arial" w:cs="Times New Roman"/>
          <w:sz w:val="20"/>
          <w:szCs w:val="22"/>
        </w:rPr>
        <w:t xml:space="preserve">located within </w:t>
      </w:r>
      <w:r w:rsidR="00C90D2B">
        <w:rPr>
          <w:rFonts w:ascii="Arial" w:hAnsi="Arial" w:cs="Times New Roman"/>
          <w:sz w:val="20"/>
          <w:szCs w:val="22"/>
        </w:rPr>
        <w:t xml:space="preserve">the </w:t>
      </w:r>
      <w:r w:rsidR="00F77CC1" w:rsidRPr="007E3821">
        <w:rPr>
          <w:rFonts w:ascii="Arial" w:hAnsi="Arial" w:cs="Times New Roman"/>
          <w:sz w:val="20"/>
          <w:szCs w:val="22"/>
        </w:rPr>
        <w:t>U NB-IoT subframes</w:t>
      </w:r>
      <w:r w:rsidR="00F77CC1">
        <w:rPr>
          <w:rFonts w:ascii="Arial" w:hAnsi="Arial" w:cs="Times New Roman"/>
          <w:sz w:val="20"/>
          <w:szCs w:val="22"/>
        </w:rPr>
        <w:t xml:space="preserve">, these UL </w:t>
      </w:r>
      <w:r w:rsidR="00F77CC1" w:rsidRPr="007E3821">
        <w:rPr>
          <w:rFonts w:ascii="Arial" w:hAnsi="Arial" w:cs="Times New Roman"/>
          <w:sz w:val="20"/>
          <w:szCs w:val="22"/>
        </w:rPr>
        <w:t>SPS</w:t>
      </w:r>
      <w:r w:rsidR="00F77CC1">
        <w:rPr>
          <w:rFonts w:ascii="Arial" w:hAnsi="Arial" w:cs="Times New Roman"/>
          <w:sz w:val="20"/>
          <w:szCs w:val="22"/>
        </w:rPr>
        <w:t xml:space="preserve"> occasions without any</w:t>
      </w:r>
      <w:r w:rsidR="007E3821" w:rsidRPr="007E3821">
        <w:rPr>
          <w:rFonts w:ascii="Arial" w:hAnsi="Arial" w:cs="Times New Roman"/>
          <w:sz w:val="20"/>
          <w:szCs w:val="22"/>
        </w:rPr>
        <w:t xml:space="preserve"> </w:t>
      </w:r>
      <w:r w:rsidR="00F77CC1">
        <w:rPr>
          <w:rFonts w:ascii="Arial" w:hAnsi="Arial" w:cs="Times New Roman"/>
          <w:sz w:val="20"/>
          <w:szCs w:val="22"/>
        </w:rPr>
        <w:t xml:space="preserve">postponement </w:t>
      </w:r>
      <w:r w:rsidR="007E3821" w:rsidRPr="007E3821">
        <w:rPr>
          <w:rFonts w:ascii="Arial" w:hAnsi="Arial" w:cs="Times New Roman"/>
          <w:sz w:val="20"/>
          <w:szCs w:val="22"/>
        </w:rPr>
        <w:t xml:space="preserve">may collide with other postponed </w:t>
      </w:r>
      <w:r w:rsidR="00F77CC1">
        <w:rPr>
          <w:rFonts w:ascii="Arial" w:hAnsi="Arial" w:cs="Times New Roman"/>
          <w:sz w:val="20"/>
          <w:szCs w:val="22"/>
        </w:rPr>
        <w:t xml:space="preserve">UL </w:t>
      </w:r>
      <w:r w:rsidR="007E3821" w:rsidRPr="007E3821">
        <w:rPr>
          <w:rFonts w:ascii="Arial" w:hAnsi="Arial" w:cs="Times New Roman"/>
          <w:sz w:val="20"/>
          <w:szCs w:val="22"/>
        </w:rPr>
        <w:t xml:space="preserve">SPS </w:t>
      </w:r>
      <w:r w:rsidR="00F77CC1">
        <w:rPr>
          <w:rFonts w:ascii="Arial" w:hAnsi="Arial" w:cs="Times New Roman"/>
          <w:sz w:val="20"/>
          <w:szCs w:val="22"/>
        </w:rPr>
        <w:t>occasions</w:t>
      </w:r>
      <w:r w:rsidR="007E3821" w:rsidRPr="007E3821">
        <w:rPr>
          <w:rFonts w:ascii="Arial" w:hAnsi="Arial" w:cs="Times New Roman"/>
          <w:sz w:val="20"/>
          <w:szCs w:val="22"/>
        </w:rPr>
        <w:t xml:space="preserve">. </w:t>
      </w:r>
      <w:r w:rsidR="007E3821" w:rsidRPr="00C90D2B">
        <w:rPr>
          <w:rFonts w:ascii="Arial" w:hAnsi="Arial" w:cs="Times New Roman"/>
          <w:sz w:val="20"/>
          <w:szCs w:val="22"/>
        </w:rPr>
        <w:t xml:space="preserve">To resolve the problem, </w:t>
      </w:r>
      <w:r w:rsidR="00C90D2B">
        <w:rPr>
          <w:rFonts w:ascii="Arial" w:hAnsi="Arial" w:cs="Times New Roman"/>
          <w:sz w:val="20"/>
          <w:szCs w:val="22"/>
        </w:rPr>
        <w:t xml:space="preserve">it is needed that for a </w:t>
      </w:r>
      <w:r w:rsidR="00C90D2B" w:rsidRPr="007E3821">
        <w:rPr>
          <w:rFonts w:ascii="Arial" w:hAnsi="Arial" w:cs="Times New Roman"/>
          <w:sz w:val="20"/>
          <w:szCs w:val="22"/>
        </w:rPr>
        <w:t>SPS</w:t>
      </w:r>
      <w:r w:rsidR="00C90D2B">
        <w:rPr>
          <w:rFonts w:ascii="Arial" w:hAnsi="Arial" w:cs="Times New Roman"/>
          <w:sz w:val="20"/>
          <w:szCs w:val="22"/>
        </w:rPr>
        <w:t xml:space="preserve"> occasion</w:t>
      </w:r>
      <w:r w:rsidR="00C90D2B" w:rsidRPr="00C90D2B">
        <w:rPr>
          <w:rFonts w:ascii="Arial" w:hAnsi="Arial" w:cs="Times New Roman"/>
          <w:sz w:val="20"/>
          <w:szCs w:val="22"/>
        </w:rPr>
        <w:t xml:space="preserve"> </w:t>
      </w:r>
      <w:r w:rsidR="00C90D2B" w:rsidRPr="007E3821">
        <w:rPr>
          <w:rFonts w:ascii="Arial" w:hAnsi="Arial" w:cs="Times New Roman"/>
          <w:sz w:val="20"/>
          <w:szCs w:val="22"/>
        </w:rPr>
        <w:t>within the 8 UL NB-I</w:t>
      </w:r>
      <w:r w:rsidR="00C90D2B" w:rsidRPr="007E3821">
        <w:rPr>
          <w:rFonts w:ascii="Arial" w:hAnsi="Arial" w:cs="Times New Roman" w:hint="eastAsia"/>
          <w:sz w:val="20"/>
          <w:szCs w:val="22"/>
        </w:rPr>
        <w:t>o</w:t>
      </w:r>
      <w:r w:rsidR="00C90D2B" w:rsidRPr="007E3821">
        <w:rPr>
          <w:rFonts w:ascii="Arial" w:hAnsi="Arial" w:cs="Times New Roman"/>
          <w:sz w:val="20"/>
          <w:szCs w:val="22"/>
        </w:rPr>
        <w:t>T subframes</w:t>
      </w:r>
      <w:r w:rsidR="00C90D2B">
        <w:rPr>
          <w:rFonts w:ascii="Arial" w:hAnsi="Arial" w:cs="Times New Roman"/>
          <w:sz w:val="20"/>
          <w:szCs w:val="22"/>
        </w:rPr>
        <w:t xml:space="preserve">, its </w:t>
      </w:r>
      <w:r w:rsidR="00C90D2B" w:rsidRPr="007E3821">
        <w:rPr>
          <w:rFonts w:ascii="Arial" w:hAnsi="Arial" w:cs="Times New Roman"/>
          <w:sz w:val="20"/>
          <w:szCs w:val="22"/>
        </w:rPr>
        <w:t>(starting) subframe id</w:t>
      </w:r>
      <w:r w:rsidR="00C90D2B">
        <w:rPr>
          <w:rFonts w:ascii="Arial" w:hAnsi="Arial" w:cs="Times New Roman"/>
          <w:sz w:val="20"/>
          <w:szCs w:val="22"/>
        </w:rPr>
        <w:t xml:space="preserve"> also follow the configured </w:t>
      </w:r>
      <w:r w:rsidR="00C90D2B" w:rsidRPr="007E3821">
        <w:rPr>
          <w:rFonts w:ascii="Arial" w:hAnsi="Arial" w:cs="Times New Roman"/>
          <w:sz w:val="20"/>
          <w:szCs w:val="22"/>
        </w:rPr>
        <w:t>(starting) subframe id</w:t>
      </w:r>
      <w:r w:rsidR="007E3821" w:rsidRPr="00C90D2B">
        <w:rPr>
          <w:rFonts w:ascii="Arial" w:hAnsi="Arial" w:cs="Times New Roman"/>
          <w:sz w:val="20"/>
          <w:szCs w:val="22"/>
        </w:rPr>
        <w:t xml:space="preserve">. </w:t>
      </w:r>
      <w:r w:rsidR="00C90D2B">
        <w:rPr>
          <w:rFonts w:ascii="Arial" w:hAnsi="Arial" w:cs="Times New Roman"/>
          <w:sz w:val="20"/>
          <w:szCs w:val="22"/>
        </w:rPr>
        <w:t xml:space="preserve">In other words, the </w:t>
      </w:r>
      <w:r w:rsidR="00C90D2B" w:rsidRPr="007E3821">
        <w:rPr>
          <w:rFonts w:ascii="Arial" w:hAnsi="Arial" w:cs="Times New Roman"/>
          <w:sz w:val="20"/>
          <w:szCs w:val="22"/>
        </w:rPr>
        <w:t>configured (starting) subframe id</w:t>
      </w:r>
      <w:r w:rsidR="00C90D2B">
        <w:rPr>
          <w:rFonts w:ascii="Arial" w:hAnsi="Arial" w:cs="Times New Roman"/>
          <w:sz w:val="20"/>
          <w:szCs w:val="22"/>
        </w:rPr>
        <w:t xml:space="preserve"> </w:t>
      </w:r>
      <w:r w:rsidR="00A0417E" w:rsidRPr="00960774">
        <w:rPr>
          <w:rFonts w:ascii="Arial" w:hAnsi="Arial" w:cs="Times New Roman"/>
          <w:sz w:val="20"/>
          <w:szCs w:val="22"/>
        </w:rPr>
        <w:t xml:space="preserve">should be applied to all UL SPS transmissions, regardless of the UL SPS occasion </w:t>
      </w:r>
      <w:r w:rsidR="005E18B8" w:rsidRPr="00960774">
        <w:rPr>
          <w:rFonts w:ascii="Arial" w:hAnsi="Arial" w:cs="Times New Roman"/>
          <w:sz w:val="20"/>
          <w:szCs w:val="22"/>
        </w:rPr>
        <w:t>overlap</w:t>
      </w:r>
      <w:r w:rsidR="00A0417E" w:rsidRPr="00960774">
        <w:rPr>
          <w:rFonts w:ascii="Arial" w:hAnsi="Arial" w:cs="Times New Roman"/>
          <w:sz w:val="20"/>
          <w:szCs w:val="22"/>
        </w:rPr>
        <w:t>ping</w:t>
      </w:r>
      <w:r w:rsidR="005E18B8" w:rsidRPr="00960774">
        <w:rPr>
          <w:rFonts w:ascii="Arial" w:hAnsi="Arial" w:cs="Times New Roman"/>
          <w:sz w:val="20"/>
          <w:szCs w:val="22"/>
        </w:rPr>
        <w:t xml:space="preserve"> with non-U NB-IoT subframes</w:t>
      </w:r>
      <w:r w:rsidR="00A0417E" w:rsidRPr="00960774">
        <w:rPr>
          <w:rFonts w:ascii="Arial" w:hAnsi="Arial" w:cs="Times New Roman"/>
          <w:sz w:val="20"/>
          <w:szCs w:val="22"/>
        </w:rPr>
        <w:t xml:space="preserve"> or not.</w:t>
      </w:r>
    </w:p>
    <w:p w14:paraId="436E4963" w14:textId="399717CF" w:rsidR="00736AAB" w:rsidRPr="00A0417E" w:rsidRDefault="00A0417E" w:rsidP="00F257BC">
      <w:pPr>
        <w:pStyle w:val="Observation"/>
        <w:numPr>
          <w:ilvl w:val="0"/>
          <w:numId w:val="21"/>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spacing w:beforeLines="0" w:before="0"/>
        <w:ind w:left="1701" w:hanging="1701"/>
        <w:textAlignment w:val="baseline"/>
      </w:pPr>
      <w:r>
        <w:t>T</w:t>
      </w:r>
      <w:r w:rsidR="005E18B8" w:rsidRPr="005E18B8">
        <w:t>here may be SPS collision between different UEs</w:t>
      </w:r>
      <w:r>
        <w:t>, and</w:t>
      </w:r>
      <w:r w:rsidRPr="00A0417E">
        <w:t xml:space="preserve"> UE</w:t>
      </w:r>
      <w:r>
        <w:t>s</w:t>
      </w:r>
      <w:r w:rsidRPr="00A0417E">
        <w:t xml:space="preserve"> cannot be aware of the UL SPS collision</w:t>
      </w:r>
      <w:r>
        <w:t>.</w:t>
      </w:r>
    </w:p>
    <w:p w14:paraId="32B9CE57" w14:textId="1DF4609B" w:rsidR="00A0417E" w:rsidRDefault="00A0417E" w:rsidP="00A0417E">
      <w:pPr>
        <w:pStyle w:val="Proposal"/>
      </w:pPr>
      <w:r>
        <w:t xml:space="preserve">In NTN TDD mode, </w:t>
      </w:r>
      <w:r w:rsidRPr="00A0417E">
        <w:t>UE is configured with a (starting) subframe id within the 8 UL NB-I</w:t>
      </w:r>
      <w:r w:rsidRPr="00A0417E">
        <w:rPr>
          <w:rFonts w:hint="eastAsia"/>
        </w:rPr>
        <w:t>o</w:t>
      </w:r>
      <w:r w:rsidRPr="00A0417E">
        <w:t xml:space="preserve">T subframes for </w:t>
      </w:r>
      <w:r>
        <w:t>all</w:t>
      </w:r>
      <w:r w:rsidRPr="00A0417E">
        <w:t xml:space="preserve"> UL SPS transmission</w:t>
      </w:r>
      <w:r>
        <w:t>s.</w:t>
      </w:r>
    </w:p>
    <w:p w14:paraId="4E76805F" w14:textId="77777777" w:rsidR="00A222FB" w:rsidRPr="00A222FB" w:rsidRDefault="00A222FB" w:rsidP="00AA542B">
      <w:pPr>
        <w:pStyle w:val="Proposal"/>
        <w:numPr>
          <w:ilvl w:val="0"/>
          <w:numId w:val="0"/>
        </w:numPr>
      </w:pPr>
    </w:p>
    <w:p w14:paraId="22068C64" w14:textId="7794D9EA" w:rsidR="00271329" w:rsidRPr="00271329" w:rsidRDefault="00271329" w:rsidP="00271329">
      <w:pPr>
        <w:pStyle w:val="Proposal"/>
        <w:numPr>
          <w:ilvl w:val="0"/>
          <w:numId w:val="0"/>
        </w:numPr>
        <w:ind w:left="1701" w:hanging="1701"/>
        <w:rPr>
          <w:b w:val="0"/>
        </w:rPr>
      </w:pPr>
      <w:r w:rsidRPr="00271329">
        <w:rPr>
          <w:b w:val="0"/>
        </w:rPr>
        <w:t>In TS36.321, a note on scheduling restriction is given as follow.</w:t>
      </w:r>
    </w:p>
    <w:tbl>
      <w:tblPr>
        <w:tblStyle w:val="aff9"/>
        <w:tblW w:w="0" w:type="auto"/>
        <w:tblLook w:val="04A0" w:firstRow="1" w:lastRow="0" w:firstColumn="1" w:lastColumn="0" w:noHBand="0" w:noVBand="1"/>
      </w:tblPr>
      <w:tblGrid>
        <w:gridCol w:w="9629"/>
      </w:tblGrid>
      <w:tr w:rsidR="00271329" w14:paraId="0104DC74" w14:textId="77777777" w:rsidTr="00271329">
        <w:tc>
          <w:tcPr>
            <w:tcW w:w="9629" w:type="dxa"/>
          </w:tcPr>
          <w:p w14:paraId="7E89A17B" w14:textId="6903617E" w:rsidR="00271329" w:rsidRPr="00271329" w:rsidRDefault="00271329" w:rsidP="00271329">
            <w:pPr>
              <w:pStyle w:val="NO"/>
            </w:pPr>
            <w:r w:rsidRPr="00181D0E">
              <w:rPr>
                <w:lang w:eastAsia="ko-KR"/>
              </w:rPr>
              <w:t>NOTE 4:</w:t>
            </w:r>
            <w:r w:rsidRPr="00181D0E">
              <w:rPr>
                <w:lang w:eastAsia="ko-KR"/>
              </w:rPr>
              <w:tab/>
              <w:t>For NB-IoT, for operation in FDD mode, and for operation in TDD mode</w:t>
            </w:r>
            <w:r w:rsidRPr="00181D0E">
              <w:t xml:space="preserve"> </w:t>
            </w:r>
            <w:r w:rsidRPr="00181D0E">
              <w:rPr>
                <w:lang w:eastAsia="ko-KR"/>
              </w:rPr>
              <w:t xml:space="preserve">with a single HARQ process when the associated HARQ RTT timer has been started, DL and UL transmissions will not be scheduled in parallel, i.e. </w:t>
            </w:r>
            <w:r w:rsidRPr="00830DC2">
              <w:rPr>
                <w:highlight w:val="yellow"/>
                <w:lang w:eastAsia="ko-KR"/>
              </w:rPr>
              <w:t>if a DL transmission has been scheduled an UL transmission will not be scheduled until HARQ RTT Timer of the DL HARQ process has expired (and vice versa)</w:t>
            </w:r>
            <w:r w:rsidRPr="00181D0E">
              <w:rPr>
                <w:lang w:eastAsia="ko-KR"/>
              </w:rPr>
              <w:t>.</w:t>
            </w:r>
          </w:p>
        </w:tc>
      </w:tr>
    </w:tbl>
    <w:p w14:paraId="2478E3D0" w14:textId="76E7CA5B" w:rsidR="00271329" w:rsidRDefault="00830DC2" w:rsidP="00271329">
      <w:pPr>
        <w:pStyle w:val="Proposal"/>
        <w:numPr>
          <w:ilvl w:val="0"/>
          <w:numId w:val="0"/>
        </w:numPr>
        <w:rPr>
          <w:b w:val="0"/>
        </w:rPr>
      </w:pPr>
      <w:r>
        <w:rPr>
          <w:b w:val="0"/>
        </w:rPr>
        <w:t xml:space="preserve">According to the above note, for </w:t>
      </w:r>
      <w:r>
        <w:rPr>
          <w:rFonts w:hint="eastAsia"/>
          <w:b w:val="0"/>
        </w:rPr>
        <w:t>a</w:t>
      </w:r>
      <w:r>
        <w:rPr>
          <w:b w:val="0"/>
        </w:rPr>
        <w:t xml:space="preserve"> NB-I</w:t>
      </w:r>
      <w:r>
        <w:rPr>
          <w:rFonts w:hint="eastAsia"/>
          <w:b w:val="0"/>
        </w:rPr>
        <w:t>o</w:t>
      </w:r>
      <w:r>
        <w:rPr>
          <w:b w:val="0"/>
        </w:rPr>
        <w:t xml:space="preserve">T UE configured with a single HARQ process, the UE is not required to monitor PDCCH </w:t>
      </w:r>
      <w:r w:rsidR="005235F4">
        <w:rPr>
          <w:b w:val="0"/>
        </w:rPr>
        <w:t>since a DL or UL transmission has been scheduled</w:t>
      </w:r>
      <w:r>
        <w:rPr>
          <w:b w:val="0"/>
        </w:rPr>
        <w:t xml:space="preserve">. This has </w:t>
      </w:r>
      <w:r w:rsidR="00873DA6">
        <w:rPr>
          <w:b w:val="0"/>
        </w:rPr>
        <w:t xml:space="preserve">also </w:t>
      </w:r>
      <w:r>
        <w:rPr>
          <w:b w:val="0"/>
        </w:rPr>
        <w:t xml:space="preserve">been reflected in the start condition of </w:t>
      </w:r>
      <w:proofErr w:type="spellStart"/>
      <w:r w:rsidRPr="00830DC2">
        <w:rPr>
          <w:b w:val="0"/>
        </w:rPr>
        <w:t>onDurationTimer</w:t>
      </w:r>
      <w:proofErr w:type="spellEnd"/>
      <w:r>
        <w:rPr>
          <w:b w:val="0"/>
        </w:rPr>
        <w:t xml:space="preserve"> as highlighted below.</w:t>
      </w:r>
    </w:p>
    <w:tbl>
      <w:tblPr>
        <w:tblStyle w:val="aff9"/>
        <w:tblW w:w="0" w:type="auto"/>
        <w:tblLook w:val="04A0" w:firstRow="1" w:lastRow="0" w:firstColumn="1" w:lastColumn="0" w:noHBand="0" w:noVBand="1"/>
      </w:tblPr>
      <w:tblGrid>
        <w:gridCol w:w="9629"/>
      </w:tblGrid>
      <w:tr w:rsidR="00830DC2" w14:paraId="3AA96EA2" w14:textId="77777777" w:rsidTr="00830DC2">
        <w:tc>
          <w:tcPr>
            <w:tcW w:w="9629" w:type="dxa"/>
          </w:tcPr>
          <w:p w14:paraId="11061D96" w14:textId="77777777" w:rsidR="00830DC2" w:rsidRPr="00181D0E" w:rsidRDefault="00830DC2" w:rsidP="00830DC2">
            <w:pPr>
              <w:pStyle w:val="B1"/>
              <w:rPr>
                <w:noProof/>
              </w:rPr>
            </w:pPr>
            <w:r w:rsidRPr="00181D0E">
              <w:rPr>
                <w:noProof/>
              </w:rPr>
              <w:t>-</w:t>
            </w:r>
            <w:r w:rsidRPr="00181D0E">
              <w:rPr>
                <w:noProof/>
              </w:rPr>
              <w:tab/>
              <w:t>if the Long DRX Cycle is used and [(SFN * 10) + subframe number] modulo (</w:t>
            </w:r>
            <w:r w:rsidRPr="00181D0E">
              <w:rPr>
                <w:i/>
                <w:iCs/>
                <w:noProof/>
                <w:lang w:eastAsia="zh-TW"/>
              </w:rPr>
              <w:t>longDRX-Cycle</w:t>
            </w:r>
            <w:r w:rsidRPr="00181D0E">
              <w:rPr>
                <w:noProof/>
              </w:rPr>
              <w:t xml:space="preserve">) = </w:t>
            </w:r>
            <w:r w:rsidRPr="00181D0E">
              <w:rPr>
                <w:i/>
                <w:iCs/>
                <w:noProof/>
              </w:rPr>
              <w:t>drxStartOffset</w:t>
            </w:r>
            <w:r w:rsidRPr="00181D0E">
              <w:rPr>
                <w:noProof/>
              </w:rPr>
              <w:t>:</w:t>
            </w:r>
          </w:p>
          <w:p w14:paraId="32A9CA13" w14:textId="77777777" w:rsidR="00830DC2" w:rsidRPr="00181D0E" w:rsidRDefault="00830DC2" w:rsidP="00830DC2">
            <w:pPr>
              <w:pStyle w:val="B2"/>
              <w:rPr>
                <w:noProof/>
              </w:rPr>
            </w:pPr>
            <w:r w:rsidRPr="00181D0E">
              <w:rPr>
                <w:noProof/>
              </w:rPr>
              <w:t>-</w:t>
            </w:r>
            <w:r w:rsidRPr="00181D0E">
              <w:rPr>
                <w:noProof/>
              </w:rPr>
              <w:tab/>
              <w:t>if NB-IoT:</w:t>
            </w:r>
          </w:p>
          <w:p w14:paraId="36BA18CA" w14:textId="77777777" w:rsidR="00830DC2" w:rsidRPr="00181D0E" w:rsidRDefault="00830DC2" w:rsidP="00830DC2">
            <w:pPr>
              <w:pStyle w:val="B3"/>
              <w:rPr>
                <w:noProof/>
              </w:rPr>
            </w:pPr>
            <w:r w:rsidRPr="00181D0E">
              <w:rPr>
                <w:noProof/>
              </w:rPr>
              <w:t>-</w:t>
            </w:r>
            <w:r w:rsidRPr="00181D0E">
              <w:rPr>
                <w:noProof/>
              </w:rPr>
              <w:tab/>
            </w:r>
            <w:r w:rsidRPr="00830DC2">
              <w:rPr>
                <w:noProof/>
                <w:highlight w:val="yellow"/>
              </w:rPr>
              <w:t xml:space="preserve">if there is at least one HARQ process for which neither HARQ RTT Timer nor UL HARQ RTT Timer is running, start </w:t>
            </w:r>
            <w:r w:rsidRPr="00830DC2">
              <w:rPr>
                <w:i/>
                <w:noProof/>
                <w:highlight w:val="yellow"/>
              </w:rPr>
              <w:t>onDurationTimer</w:t>
            </w:r>
            <w:r w:rsidRPr="00830DC2">
              <w:rPr>
                <w:noProof/>
                <w:highlight w:val="yellow"/>
              </w:rPr>
              <w:t>.</w:t>
            </w:r>
          </w:p>
          <w:p w14:paraId="1C55C7B7" w14:textId="77777777" w:rsidR="00830DC2" w:rsidRPr="00181D0E" w:rsidRDefault="00830DC2" w:rsidP="00830DC2">
            <w:pPr>
              <w:pStyle w:val="B2"/>
              <w:rPr>
                <w:noProof/>
              </w:rPr>
            </w:pPr>
            <w:r w:rsidRPr="00181D0E">
              <w:rPr>
                <w:noProof/>
              </w:rPr>
              <w:t>-</w:t>
            </w:r>
            <w:r w:rsidRPr="00181D0E">
              <w:rPr>
                <w:noProof/>
              </w:rPr>
              <w:tab/>
              <w:t>else:</w:t>
            </w:r>
          </w:p>
          <w:p w14:paraId="20A6D0EA" w14:textId="171D05A1" w:rsidR="00830DC2" w:rsidRPr="004E2608" w:rsidRDefault="00830DC2" w:rsidP="004E2608">
            <w:pPr>
              <w:pStyle w:val="B3"/>
              <w:rPr>
                <w:noProof/>
              </w:rPr>
            </w:pPr>
            <w:r w:rsidRPr="00181D0E">
              <w:rPr>
                <w:noProof/>
              </w:rPr>
              <w:t>-</w:t>
            </w:r>
            <w:r w:rsidRPr="00181D0E">
              <w:rPr>
                <w:noProof/>
              </w:rPr>
              <w:tab/>
              <w:t xml:space="preserve">start </w:t>
            </w:r>
            <w:proofErr w:type="spellStart"/>
            <w:r w:rsidRPr="00181D0E">
              <w:t>onDurationTimer</w:t>
            </w:r>
            <w:proofErr w:type="spellEnd"/>
            <w:r w:rsidRPr="00181D0E">
              <w:rPr>
                <w:noProof/>
              </w:rPr>
              <w:t>.</w:t>
            </w:r>
          </w:p>
        </w:tc>
      </w:tr>
    </w:tbl>
    <w:p w14:paraId="7174546E" w14:textId="77777777" w:rsidR="00830DC2" w:rsidRPr="00830DC2" w:rsidRDefault="00830DC2" w:rsidP="00271329">
      <w:pPr>
        <w:pStyle w:val="Proposal"/>
        <w:numPr>
          <w:ilvl w:val="0"/>
          <w:numId w:val="0"/>
        </w:numPr>
        <w:rPr>
          <w:b w:val="0"/>
        </w:rPr>
      </w:pPr>
    </w:p>
    <w:p w14:paraId="199B46CA" w14:textId="35EA6BAB" w:rsidR="00271329" w:rsidRPr="005235F4" w:rsidRDefault="00830DC2" w:rsidP="005235F4">
      <w:pPr>
        <w:pStyle w:val="Proposal"/>
        <w:numPr>
          <w:ilvl w:val="0"/>
          <w:numId w:val="0"/>
        </w:numPr>
        <w:rPr>
          <w:b w:val="0"/>
        </w:rPr>
      </w:pPr>
      <w:r w:rsidRPr="005235F4">
        <w:rPr>
          <w:b w:val="0"/>
        </w:rPr>
        <w:t>In NTN TDD mode,</w:t>
      </w:r>
      <w:r w:rsidR="005235F4" w:rsidRPr="005235F4">
        <w:rPr>
          <w:b w:val="0"/>
        </w:rPr>
        <w:t xml:space="preserve"> </w:t>
      </w:r>
      <w:r w:rsidR="006706EF">
        <w:rPr>
          <w:b w:val="0"/>
        </w:rPr>
        <w:t>for</w:t>
      </w:r>
      <w:r w:rsidR="005235F4" w:rsidRPr="005235F4">
        <w:rPr>
          <w:b w:val="0"/>
        </w:rPr>
        <w:t xml:space="preserve"> UL or DL transmission with repetition, if </w:t>
      </w:r>
      <w:r w:rsidR="006706EF">
        <w:rPr>
          <w:b w:val="0"/>
        </w:rPr>
        <w:t>transmission duration</w:t>
      </w:r>
      <w:r w:rsidR="005235F4" w:rsidRPr="005235F4">
        <w:rPr>
          <w:b w:val="0"/>
        </w:rPr>
        <w:t xml:space="preserve"> is l</w:t>
      </w:r>
      <w:r w:rsidR="006706EF">
        <w:rPr>
          <w:b w:val="0"/>
        </w:rPr>
        <w:t>onger than 8ms</w:t>
      </w:r>
      <w:r w:rsidR="005235F4" w:rsidRPr="005235F4">
        <w:rPr>
          <w:b w:val="0"/>
        </w:rPr>
        <w:t>, the transmission may be segmented.</w:t>
      </w:r>
      <w:r w:rsidR="005235F4">
        <w:rPr>
          <w:b w:val="0"/>
        </w:rPr>
        <w:t xml:space="preserve"> For UL </w:t>
      </w:r>
      <w:r w:rsidR="002C26EC" w:rsidRPr="005235F4">
        <w:rPr>
          <w:b w:val="0"/>
        </w:rPr>
        <w:t>segmented</w:t>
      </w:r>
      <w:r w:rsidR="002C26EC">
        <w:rPr>
          <w:b w:val="0"/>
        </w:rPr>
        <w:t xml:space="preserve"> </w:t>
      </w:r>
      <w:r w:rsidR="005235F4">
        <w:rPr>
          <w:b w:val="0"/>
        </w:rPr>
        <w:t>transmission, there will be DL NB-I</w:t>
      </w:r>
      <w:r w:rsidR="005235F4">
        <w:rPr>
          <w:rFonts w:hint="eastAsia"/>
          <w:b w:val="0"/>
        </w:rPr>
        <w:t>o</w:t>
      </w:r>
      <w:r w:rsidR="005235F4">
        <w:rPr>
          <w:b w:val="0"/>
        </w:rPr>
        <w:t xml:space="preserve">T subframes located between </w:t>
      </w:r>
      <w:r w:rsidR="00CD17F8" w:rsidRPr="00CD17F8">
        <w:rPr>
          <w:b w:val="0"/>
        </w:rPr>
        <w:t>successive</w:t>
      </w:r>
      <w:r w:rsidR="00CD17F8">
        <w:rPr>
          <w:b w:val="0"/>
        </w:rPr>
        <w:t xml:space="preserve"> </w:t>
      </w:r>
      <w:r w:rsidR="005235F4">
        <w:rPr>
          <w:b w:val="0"/>
        </w:rPr>
        <w:t>UL segmented transmission</w:t>
      </w:r>
      <w:r w:rsidR="00CD17F8">
        <w:rPr>
          <w:b w:val="0"/>
        </w:rPr>
        <w:t xml:space="preserve">s. Following the principle in the above note, UE should not monitor PDCCH during </w:t>
      </w:r>
      <w:r w:rsidR="004E2608">
        <w:rPr>
          <w:b w:val="0"/>
        </w:rPr>
        <w:t xml:space="preserve">these </w:t>
      </w:r>
      <w:r w:rsidR="00CD17F8">
        <w:rPr>
          <w:b w:val="0"/>
        </w:rPr>
        <w:t>DL NB-I</w:t>
      </w:r>
      <w:r w:rsidR="00CD17F8">
        <w:rPr>
          <w:rFonts w:hint="eastAsia"/>
          <w:b w:val="0"/>
        </w:rPr>
        <w:t>o</w:t>
      </w:r>
      <w:r w:rsidR="00CD17F8">
        <w:rPr>
          <w:b w:val="0"/>
        </w:rPr>
        <w:t>T subframes</w:t>
      </w:r>
      <w:r w:rsidR="004E2608">
        <w:rPr>
          <w:b w:val="0"/>
        </w:rPr>
        <w:t xml:space="preserve">, and this should be considered as an additional start condition </w:t>
      </w:r>
      <w:r w:rsidR="00873DA6">
        <w:rPr>
          <w:b w:val="0"/>
        </w:rPr>
        <w:t xml:space="preserve">restriction </w:t>
      </w:r>
      <w:r w:rsidR="004E2608">
        <w:rPr>
          <w:b w:val="0"/>
        </w:rPr>
        <w:t xml:space="preserve">for </w:t>
      </w:r>
      <w:proofErr w:type="spellStart"/>
      <w:r w:rsidR="004E2608" w:rsidRPr="00830DC2">
        <w:rPr>
          <w:b w:val="0"/>
        </w:rPr>
        <w:t>onDurationTimer</w:t>
      </w:r>
      <w:proofErr w:type="spellEnd"/>
    </w:p>
    <w:p w14:paraId="26CB1D8E" w14:textId="73F88C65" w:rsidR="00BB01EA" w:rsidRPr="00873DA6" w:rsidRDefault="00484CB2" w:rsidP="00873DA6">
      <w:pPr>
        <w:pStyle w:val="Proposal"/>
      </w:pPr>
      <w:r>
        <w:lastRenderedPageBreak/>
        <w:t xml:space="preserve">In NTN TDD mode, </w:t>
      </w:r>
      <w:r w:rsidR="007C5D37">
        <w:t xml:space="preserve">UE doesn’t start </w:t>
      </w:r>
      <w:proofErr w:type="spellStart"/>
      <w:r w:rsidR="007C5D37" w:rsidRPr="007C5D37">
        <w:t>onDurationTimer</w:t>
      </w:r>
      <w:proofErr w:type="spellEnd"/>
      <w:r w:rsidR="007C5D37" w:rsidRPr="007C5D37">
        <w:t xml:space="preserve"> within the UL </w:t>
      </w:r>
      <w:r w:rsidR="004E2608" w:rsidRPr="004E2608">
        <w:t xml:space="preserve">segmented </w:t>
      </w:r>
      <w:r w:rsidR="007C5D37" w:rsidRPr="007C5D37">
        <w:t>transmission gap</w:t>
      </w:r>
      <w:r w:rsidR="008F3544" w:rsidRPr="007C5D37">
        <w:t>.</w:t>
      </w:r>
    </w:p>
    <w:p w14:paraId="2E58CC51" w14:textId="77777777" w:rsidR="00FB3C9D" w:rsidRDefault="003D1DDD" w:rsidP="00461332">
      <w:pPr>
        <w:pStyle w:val="1"/>
        <w:numPr>
          <w:ilvl w:val="0"/>
          <w:numId w:val="15"/>
        </w:numPr>
      </w:pPr>
      <w:bookmarkStart w:id="5" w:name="_Toc131757160"/>
      <w:r>
        <w:t>Conclusion</w:t>
      </w:r>
      <w:bookmarkEnd w:id="5"/>
    </w:p>
    <w:p w14:paraId="04A5609E" w14:textId="15389801" w:rsidR="00942605" w:rsidRPr="00F33308" w:rsidRDefault="00013646">
      <w:r>
        <w:t>Based on the discussion we propose the following:</w:t>
      </w:r>
    </w:p>
    <w:p w14:paraId="4773961A" w14:textId="77777777" w:rsidR="00A0417E" w:rsidRDefault="00A0417E" w:rsidP="00883150">
      <w:pPr>
        <w:pStyle w:val="Proposal"/>
        <w:numPr>
          <w:ilvl w:val="0"/>
          <w:numId w:val="32"/>
        </w:numPr>
      </w:pPr>
      <w:bookmarkStart w:id="6" w:name="_In-sequence_SDU_delivery"/>
      <w:bookmarkEnd w:id="6"/>
      <w:r>
        <w:t xml:space="preserve">In NTN TDD mode, </w:t>
      </w:r>
      <w:r w:rsidRPr="00A0417E">
        <w:t>UE is configured with a (starting) subframe id within the 8 UL NB-I</w:t>
      </w:r>
      <w:r w:rsidRPr="00A0417E">
        <w:rPr>
          <w:rFonts w:hint="eastAsia"/>
        </w:rPr>
        <w:t>o</w:t>
      </w:r>
      <w:r w:rsidRPr="00A0417E">
        <w:t xml:space="preserve">T subframes for </w:t>
      </w:r>
      <w:r>
        <w:t>all</w:t>
      </w:r>
      <w:r w:rsidRPr="00A0417E">
        <w:t xml:space="preserve"> UL SPS transmission</w:t>
      </w:r>
      <w:r>
        <w:t>s.</w:t>
      </w:r>
    </w:p>
    <w:p w14:paraId="44EB0941" w14:textId="6065323B" w:rsidR="00535503" w:rsidRPr="000C6477" w:rsidRDefault="00A0417E" w:rsidP="00A0417E">
      <w:pPr>
        <w:pStyle w:val="Proposal"/>
      </w:pPr>
      <w:r>
        <w:t xml:space="preserve">In NTN TDD mode, UE doesn’t start </w:t>
      </w:r>
      <w:proofErr w:type="spellStart"/>
      <w:r w:rsidRPr="007C5D37">
        <w:t>onDurationTimer</w:t>
      </w:r>
      <w:proofErr w:type="spellEnd"/>
      <w:r w:rsidRPr="007C5D37">
        <w:t xml:space="preserve"> within the UL </w:t>
      </w:r>
      <w:r w:rsidRPr="004E2608">
        <w:t xml:space="preserve">segmented </w:t>
      </w:r>
      <w:r w:rsidRPr="007C5D37">
        <w:t>transmission gap.</w:t>
      </w:r>
    </w:p>
    <w:p w14:paraId="07CEE24D" w14:textId="2BB52394" w:rsidR="00535503" w:rsidRDefault="00535503" w:rsidP="00461332">
      <w:pPr>
        <w:pStyle w:val="1"/>
        <w:numPr>
          <w:ilvl w:val="0"/>
          <w:numId w:val="15"/>
        </w:numPr>
      </w:pPr>
      <w:r>
        <w:t>Reference</w:t>
      </w:r>
    </w:p>
    <w:p w14:paraId="29D5FA78" w14:textId="69CE8FCF" w:rsidR="004173B6" w:rsidRPr="00535503" w:rsidRDefault="00535503" w:rsidP="00024034">
      <w:pPr>
        <w:pBdr>
          <w:top w:val="none" w:sz="0" w:space="0" w:color="auto"/>
          <w:left w:val="none" w:sz="0" w:space="0" w:color="auto"/>
          <w:bottom w:val="none" w:sz="0" w:space="0" w:color="auto"/>
          <w:right w:val="none" w:sz="0" w:space="0" w:color="auto"/>
          <w:between w:val="none" w:sz="0" w:space="0" w:color="auto"/>
        </w:pBdr>
        <w:spacing w:before="120" w:after="0"/>
        <w:jc w:val="left"/>
        <w:rPr>
          <w:rFonts w:eastAsiaTheme="minorEastAsia"/>
        </w:rPr>
      </w:pPr>
      <w:r>
        <w:rPr>
          <w:rFonts w:eastAsiaTheme="minorEastAsia" w:hint="eastAsia"/>
        </w:rPr>
        <w:t>[</w:t>
      </w:r>
      <w:r>
        <w:rPr>
          <w:rFonts w:eastAsiaTheme="minorEastAsia"/>
        </w:rPr>
        <w:t xml:space="preserve">1] </w:t>
      </w:r>
      <w:r w:rsidRPr="00535503">
        <w:rPr>
          <w:rFonts w:eastAsiaTheme="minorEastAsia"/>
        </w:rPr>
        <w:t>RP-243293, Revised WID on introduction of IoT-NTN TDD mode</w:t>
      </w:r>
    </w:p>
    <w:p w14:paraId="5FD25028" w14:textId="77777777" w:rsidR="004173B6" w:rsidRPr="004173B6" w:rsidRDefault="004173B6" w:rsidP="004173B6"/>
    <w:p w14:paraId="6141EE9F" w14:textId="77777777" w:rsidR="00DB7CBF" w:rsidRPr="004173B6" w:rsidRDefault="00DB7CBF"/>
    <w:sectPr w:rsidR="00DB7CBF" w:rsidRPr="004173B6">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42BFB" w14:textId="77777777" w:rsidR="00206F50" w:rsidRDefault="00206F50">
      <w:pPr>
        <w:spacing w:after="0"/>
      </w:pPr>
      <w:r>
        <w:separator/>
      </w:r>
    </w:p>
  </w:endnote>
  <w:endnote w:type="continuationSeparator" w:id="0">
    <w:p w14:paraId="6CE6ECFC" w14:textId="77777777" w:rsidR="00206F50" w:rsidRDefault="00206F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E56AF4" w:rsidRDefault="00E56AF4">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07D0F" w14:textId="77777777" w:rsidR="00206F50" w:rsidRDefault="00206F50">
      <w:pPr>
        <w:spacing w:after="0"/>
      </w:pPr>
      <w:r>
        <w:separator/>
      </w:r>
    </w:p>
  </w:footnote>
  <w:footnote w:type="continuationSeparator" w:id="0">
    <w:p w14:paraId="550766D6" w14:textId="77777777" w:rsidR="00206F50" w:rsidRDefault="00206F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1DB6886"/>
    <w:multiLevelType w:val="hybridMultilevel"/>
    <w:tmpl w:val="586EEB3C"/>
    <w:lvl w:ilvl="0" w:tplc="B50876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4774E4"/>
    <w:multiLevelType w:val="hybridMultilevel"/>
    <w:tmpl w:val="3DF67E52"/>
    <w:lvl w:ilvl="0" w:tplc="7B12F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3A92AB2"/>
    <w:multiLevelType w:val="hybridMultilevel"/>
    <w:tmpl w:val="8C6CA0E2"/>
    <w:lvl w:ilvl="0" w:tplc="C250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357A02"/>
    <w:multiLevelType w:val="hybridMultilevel"/>
    <w:tmpl w:val="E0C21E64"/>
    <w:lvl w:ilvl="0" w:tplc="B50876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3A66A0"/>
    <w:multiLevelType w:val="hybridMultilevel"/>
    <w:tmpl w:val="9FAAC792"/>
    <w:lvl w:ilvl="0" w:tplc="6FCC3B47">
      <w:start w:val="1"/>
      <w:numFmt w:val="bullet"/>
      <w:lvlText w:val="·"/>
      <w:lvlJc w:val="left"/>
      <w:pPr>
        <w:ind w:left="420" w:hanging="420"/>
      </w:pPr>
      <w:rPr>
        <w:rFonts w:ascii="仿宋" w:eastAsia="仿宋" w:hAnsi="仿宋" w:cs="仿宋"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8D45F7"/>
    <w:multiLevelType w:val="multilevel"/>
    <w:tmpl w:val="5FA84696"/>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3"/>
  </w:num>
  <w:num w:numId="3">
    <w:abstractNumId w:val="6"/>
  </w:num>
  <w:num w:numId="4">
    <w:abstractNumId w:val="19"/>
  </w:num>
  <w:num w:numId="5">
    <w:abstractNumId w:val="8"/>
  </w:num>
  <w:num w:numId="6">
    <w:abstractNumId w:val="7"/>
  </w:num>
  <w:num w:numId="7">
    <w:abstractNumId w:val="17"/>
  </w:num>
  <w:num w:numId="8">
    <w:abstractNumId w:val="21"/>
  </w:num>
  <w:num w:numId="9">
    <w:abstractNumId w:val="16"/>
  </w:num>
  <w:num w:numId="10">
    <w:abstractNumId w:val="10"/>
  </w:num>
  <w:num w:numId="11">
    <w:abstractNumId w:val="5"/>
  </w:num>
  <w:num w:numId="12">
    <w:abstractNumId w:val="9"/>
  </w:num>
  <w:num w:numId="13">
    <w:abstractNumId w:val="4"/>
  </w:num>
  <w:num w:numId="14">
    <w:abstractNumId w:val="18"/>
  </w:num>
  <w:num w:numId="15">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22"/>
  </w:num>
  <w:num w:numId="18">
    <w:abstractNumId w:val="14"/>
  </w:num>
  <w:num w:numId="19">
    <w:abstractNumId w:val="2"/>
  </w:num>
  <w:num w:numId="20">
    <w:abstractNumId w:val="1"/>
  </w:num>
  <w:num w:numId="21">
    <w:abstractNumId w:val="15"/>
  </w:num>
  <w:num w:numId="22">
    <w:abstractNumId w:val="11"/>
  </w:num>
  <w:num w:numId="23">
    <w:abstractNumId w:val="20"/>
  </w:num>
  <w:num w:numId="24">
    <w:abstractNumId w:val="5"/>
    <w:lvlOverride w:ilvl="0">
      <w:startOverride w:val="1"/>
    </w:lvlOverride>
  </w:num>
  <w:num w:numId="25">
    <w:abstractNumId w:val="5"/>
  </w:num>
  <w:num w:numId="26">
    <w:abstractNumId w:val="12"/>
  </w:num>
  <w:num w:numId="27">
    <w:abstractNumId w:val="3"/>
  </w:num>
  <w:num w:numId="28">
    <w:abstractNumId w:val="5"/>
  </w:num>
  <w:num w:numId="29">
    <w:abstractNumId w:val="5"/>
  </w:num>
  <w:num w:numId="30">
    <w:abstractNumId w:val="5"/>
  </w:num>
  <w:num w:numId="31">
    <w:abstractNumId w:val="5"/>
    <w:lvlOverride w:ilvl="0">
      <w:startOverride w:val="1"/>
    </w:lvlOverride>
  </w:num>
  <w:num w:numId="32">
    <w:abstractNumId w:val="5"/>
    <w:lvlOverride w:ilvl="0">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EE7"/>
    <w:rsid w:val="000100C5"/>
    <w:rsid w:val="000122B1"/>
    <w:rsid w:val="00013646"/>
    <w:rsid w:val="00015740"/>
    <w:rsid w:val="00015DBC"/>
    <w:rsid w:val="00017121"/>
    <w:rsid w:val="00022B9C"/>
    <w:rsid w:val="00023308"/>
    <w:rsid w:val="00024034"/>
    <w:rsid w:val="00025DF1"/>
    <w:rsid w:val="000267B2"/>
    <w:rsid w:val="000301AA"/>
    <w:rsid w:val="000301BE"/>
    <w:rsid w:val="00034101"/>
    <w:rsid w:val="00034B3C"/>
    <w:rsid w:val="000369EE"/>
    <w:rsid w:val="00041594"/>
    <w:rsid w:val="0004262D"/>
    <w:rsid w:val="00044D3C"/>
    <w:rsid w:val="00045938"/>
    <w:rsid w:val="00046CFA"/>
    <w:rsid w:val="00047FB5"/>
    <w:rsid w:val="00050545"/>
    <w:rsid w:val="00053A22"/>
    <w:rsid w:val="00056A7A"/>
    <w:rsid w:val="00056FA0"/>
    <w:rsid w:val="000571A8"/>
    <w:rsid w:val="000576CF"/>
    <w:rsid w:val="00057B8E"/>
    <w:rsid w:val="00057BD3"/>
    <w:rsid w:val="00060567"/>
    <w:rsid w:val="00061D42"/>
    <w:rsid w:val="00064493"/>
    <w:rsid w:val="00066995"/>
    <w:rsid w:val="00070353"/>
    <w:rsid w:val="000711BB"/>
    <w:rsid w:val="00074B10"/>
    <w:rsid w:val="0007764C"/>
    <w:rsid w:val="000818B8"/>
    <w:rsid w:val="000818F4"/>
    <w:rsid w:val="00081EC4"/>
    <w:rsid w:val="00082BAD"/>
    <w:rsid w:val="00084466"/>
    <w:rsid w:val="00085720"/>
    <w:rsid w:val="00090601"/>
    <w:rsid w:val="00093756"/>
    <w:rsid w:val="00094AB9"/>
    <w:rsid w:val="000953B6"/>
    <w:rsid w:val="00095975"/>
    <w:rsid w:val="00095EDC"/>
    <w:rsid w:val="00097B99"/>
    <w:rsid w:val="000A0033"/>
    <w:rsid w:val="000A045B"/>
    <w:rsid w:val="000A1C5D"/>
    <w:rsid w:val="000A221D"/>
    <w:rsid w:val="000A4B4F"/>
    <w:rsid w:val="000A68FA"/>
    <w:rsid w:val="000A6956"/>
    <w:rsid w:val="000A6A9A"/>
    <w:rsid w:val="000A786B"/>
    <w:rsid w:val="000A7F4C"/>
    <w:rsid w:val="000B0CE0"/>
    <w:rsid w:val="000B162C"/>
    <w:rsid w:val="000B2A4F"/>
    <w:rsid w:val="000B4631"/>
    <w:rsid w:val="000B5469"/>
    <w:rsid w:val="000B7832"/>
    <w:rsid w:val="000B78FB"/>
    <w:rsid w:val="000B79DB"/>
    <w:rsid w:val="000B7A5D"/>
    <w:rsid w:val="000C0F85"/>
    <w:rsid w:val="000C1310"/>
    <w:rsid w:val="000C5F3C"/>
    <w:rsid w:val="000C6477"/>
    <w:rsid w:val="000C6CC3"/>
    <w:rsid w:val="000E03C4"/>
    <w:rsid w:val="000E0E41"/>
    <w:rsid w:val="000E15AB"/>
    <w:rsid w:val="000F0DE1"/>
    <w:rsid w:val="000F14EE"/>
    <w:rsid w:val="000F1B5F"/>
    <w:rsid w:val="000F1E7D"/>
    <w:rsid w:val="000F2E9B"/>
    <w:rsid w:val="000F38DD"/>
    <w:rsid w:val="000F5021"/>
    <w:rsid w:val="000F5134"/>
    <w:rsid w:val="000F5CC4"/>
    <w:rsid w:val="000F5DA6"/>
    <w:rsid w:val="000F7D77"/>
    <w:rsid w:val="00107335"/>
    <w:rsid w:val="00107715"/>
    <w:rsid w:val="00111FD9"/>
    <w:rsid w:val="00113F80"/>
    <w:rsid w:val="001154C9"/>
    <w:rsid w:val="00115CFC"/>
    <w:rsid w:val="0011653C"/>
    <w:rsid w:val="001202CB"/>
    <w:rsid w:val="00120D0C"/>
    <w:rsid w:val="001222C2"/>
    <w:rsid w:val="00123DA6"/>
    <w:rsid w:val="00124C77"/>
    <w:rsid w:val="00125123"/>
    <w:rsid w:val="0013348E"/>
    <w:rsid w:val="00133F0B"/>
    <w:rsid w:val="001343B0"/>
    <w:rsid w:val="001349BC"/>
    <w:rsid w:val="00136D1F"/>
    <w:rsid w:val="00141B05"/>
    <w:rsid w:val="0014408A"/>
    <w:rsid w:val="001444DC"/>
    <w:rsid w:val="001446E7"/>
    <w:rsid w:val="00146D5C"/>
    <w:rsid w:val="00146E5B"/>
    <w:rsid w:val="00150AF6"/>
    <w:rsid w:val="00151826"/>
    <w:rsid w:val="00151DC1"/>
    <w:rsid w:val="00154CDE"/>
    <w:rsid w:val="00154F7E"/>
    <w:rsid w:val="001551E2"/>
    <w:rsid w:val="001552FD"/>
    <w:rsid w:val="00155445"/>
    <w:rsid w:val="00155572"/>
    <w:rsid w:val="00160B0D"/>
    <w:rsid w:val="001614D8"/>
    <w:rsid w:val="001632EC"/>
    <w:rsid w:val="001663CB"/>
    <w:rsid w:val="0016729F"/>
    <w:rsid w:val="001701D2"/>
    <w:rsid w:val="00180DEC"/>
    <w:rsid w:val="0018150A"/>
    <w:rsid w:val="001833E5"/>
    <w:rsid w:val="00185E1A"/>
    <w:rsid w:val="00185F43"/>
    <w:rsid w:val="001933B5"/>
    <w:rsid w:val="001A126F"/>
    <w:rsid w:val="001A4B2D"/>
    <w:rsid w:val="001A4E19"/>
    <w:rsid w:val="001A50CB"/>
    <w:rsid w:val="001B031F"/>
    <w:rsid w:val="001B3D23"/>
    <w:rsid w:val="001B490B"/>
    <w:rsid w:val="001B64DA"/>
    <w:rsid w:val="001B77AC"/>
    <w:rsid w:val="001B7D1B"/>
    <w:rsid w:val="001C0F3F"/>
    <w:rsid w:val="001C1A4E"/>
    <w:rsid w:val="001C2ED3"/>
    <w:rsid w:val="001C3555"/>
    <w:rsid w:val="001C6E79"/>
    <w:rsid w:val="001D10E1"/>
    <w:rsid w:val="001D1A2F"/>
    <w:rsid w:val="001D3066"/>
    <w:rsid w:val="001D32BD"/>
    <w:rsid w:val="001D4078"/>
    <w:rsid w:val="001D7235"/>
    <w:rsid w:val="001D7CF5"/>
    <w:rsid w:val="001E069C"/>
    <w:rsid w:val="001E237B"/>
    <w:rsid w:val="001E2735"/>
    <w:rsid w:val="001F02BF"/>
    <w:rsid w:val="001F217C"/>
    <w:rsid w:val="001F3D00"/>
    <w:rsid w:val="001F6736"/>
    <w:rsid w:val="001F7B83"/>
    <w:rsid w:val="002034C4"/>
    <w:rsid w:val="002042C1"/>
    <w:rsid w:val="00205D42"/>
    <w:rsid w:val="00206961"/>
    <w:rsid w:val="00206F50"/>
    <w:rsid w:val="002070B3"/>
    <w:rsid w:val="00207D39"/>
    <w:rsid w:val="00210583"/>
    <w:rsid w:val="002110D8"/>
    <w:rsid w:val="00212650"/>
    <w:rsid w:val="002143D1"/>
    <w:rsid w:val="0021582F"/>
    <w:rsid w:val="00216837"/>
    <w:rsid w:val="002203A2"/>
    <w:rsid w:val="0022081A"/>
    <w:rsid w:val="002226D1"/>
    <w:rsid w:val="00222A1B"/>
    <w:rsid w:val="00222A7A"/>
    <w:rsid w:val="00223441"/>
    <w:rsid w:val="00224EDE"/>
    <w:rsid w:val="00224F89"/>
    <w:rsid w:val="002269C2"/>
    <w:rsid w:val="00230435"/>
    <w:rsid w:val="0023140C"/>
    <w:rsid w:val="00231ED6"/>
    <w:rsid w:val="002322A7"/>
    <w:rsid w:val="002342B4"/>
    <w:rsid w:val="00236734"/>
    <w:rsid w:val="002373E8"/>
    <w:rsid w:val="00241D61"/>
    <w:rsid w:val="00244466"/>
    <w:rsid w:val="002450FC"/>
    <w:rsid w:val="00246065"/>
    <w:rsid w:val="00247587"/>
    <w:rsid w:val="00252513"/>
    <w:rsid w:val="002525DC"/>
    <w:rsid w:val="00252E5E"/>
    <w:rsid w:val="00256507"/>
    <w:rsid w:val="00256CFB"/>
    <w:rsid w:val="0025783A"/>
    <w:rsid w:val="00257DD1"/>
    <w:rsid w:val="00261173"/>
    <w:rsid w:val="002635CD"/>
    <w:rsid w:val="00263A72"/>
    <w:rsid w:val="0026457B"/>
    <w:rsid w:val="0026476C"/>
    <w:rsid w:val="0026590F"/>
    <w:rsid w:val="00265ACD"/>
    <w:rsid w:val="00266282"/>
    <w:rsid w:val="00267BDA"/>
    <w:rsid w:val="0027082C"/>
    <w:rsid w:val="00270B27"/>
    <w:rsid w:val="00270CA6"/>
    <w:rsid w:val="00271329"/>
    <w:rsid w:val="002713D3"/>
    <w:rsid w:val="00271F28"/>
    <w:rsid w:val="00273C47"/>
    <w:rsid w:val="00274116"/>
    <w:rsid w:val="002751B2"/>
    <w:rsid w:val="00275579"/>
    <w:rsid w:val="00276BFA"/>
    <w:rsid w:val="00277C14"/>
    <w:rsid w:val="00283C1B"/>
    <w:rsid w:val="00283CD4"/>
    <w:rsid w:val="00284194"/>
    <w:rsid w:val="002841F1"/>
    <w:rsid w:val="00284A26"/>
    <w:rsid w:val="00287175"/>
    <w:rsid w:val="00294F36"/>
    <w:rsid w:val="00295928"/>
    <w:rsid w:val="00297F4E"/>
    <w:rsid w:val="002A0222"/>
    <w:rsid w:val="002A06C1"/>
    <w:rsid w:val="002A070D"/>
    <w:rsid w:val="002A2EC4"/>
    <w:rsid w:val="002A6597"/>
    <w:rsid w:val="002A71DE"/>
    <w:rsid w:val="002A72F4"/>
    <w:rsid w:val="002A7B3F"/>
    <w:rsid w:val="002B104F"/>
    <w:rsid w:val="002B1C46"/>
    <w:rsid w:val="002B31C3"/>
    <w:rsid w:val="002B6921"/>
    <w:rsid w:val="002C043C"/>
    <w:rsid w:val="002C26EC"/>
    <w:rsid w:val="002C278D"/>
    <w:rsid w:val="002C6202"/>
    <w:rsid w:val="002C623F"/>
    <w:rsid w:val="002C6CD3"/>
    <w:rsid w:val="002C75E9"/>
    <w:rsid w:val="002C7AE9"/>
    <w:rsid w:val="002D02B9"/>
    <w:rsid w:val="002D0DFA"/>
    <w:rsid w:val="002D1D15"/>
    <w:rsid w:val="002D32D2"/>
    <w:rsid w:val="002D3E32"/>
    <w:rsid w:val="002E06D5"/>
    <w:rsid w:val="002E0EE6"/>
    <w:rsid w:val="002E156A"/>
    <w:rsid w:val="002E1EAB"/>
    <w:rsid w:val="002E2EB8"/>
    <w:rsid w:val="002E635A"/>
    <w:rsid w:val="002E6468"/>
    <w:rsid w:val="002E6820"/>
    <w:rsid w:val="002E775D"/>
    <w:rsid w:val="002F264A"/>
    <w:rsid w:val="002F28AB"/>
    <w:rsid w:val="002F62AF"/>
    <w:rsid w:val="002F6B1B"/>
    <w:rsid w:val="00300D99"/>
    <w:rsid w:val="0030200E"/>
    <w:rsid w:val="0030624E"/>
    <w:rsid w:val="00306EDF"/>
    <w:rsid w:val="00307EFB"/>
    <w:rsid w:val="00311126"/>
    <w:rsid w:val="003134B3"/>
    <w:rsid w:val="00313985"/>
    <w:rsid w:val="003200FE"/>
    <w:rsid w:val="00320928"/>
    <w:rsid w:val="00322B4A"/>
    <w:rsid w:val="00325BFC"/>
    <w:rsid w:val="00326F53"/>
    <w:rsid w:val="00327786"/>
    <w:rsid w:val="003300F0"/>
    <w:rsid w:val="00330346"/>
    <w:rsid w:val="00333F69"/>
    <w:rsid w:val="00336AE4"/>
    <w:rsid w:val="00340AC9"/>
    <w:rsid w:val="00340AEA"/>
    <w:rsid w:val="0034168D"/>
    <w:rsid w:val="00342999"/>
    <w:rsid w:val="00343E39"/>
    <w:rsid w:val="0035075D"/>
    <w:rsid w:val="00350F10"/>
    <w:rsid w:val="00353CD9"/>
    <w:rsid w:val="00356377"/>
    <w:rsid w:val="0035683F"/>
    <w:rsid w:val="00361968"/>
    <w:rsid w:val="003631C4"/>
    <w:rsid w:val="00366D26"/>
    <w:rsid w:val="0036797E"/>
    <w:rsid w:val="00367F1E"/>
    <w:rsid w:val="00377342"/>
    <w:rsid w:val="0038514D"/>
    <w:rsid w:val="00386A14"/>
    <w:rsid w:val="00391515"/>
    <w:rsid w:val="0039187D"/>
    <w:rsid w:val="00391C04"/>
    <w:rsid w:val="003936AA"/>
    <w:rsid w:val="00396679"/>
    <w:rsid w:val="00397272"/>
    <w:rsid w:val="003A2BC0"/>
    <w:rsid w:val="003A5CDA"/>
    <w:rsid w:val="003A6450"/>
    <w:rsid w:val="003A653D"/>
    <w:rsid w:val="003A74A2"/>
    <w:rsid w:val="003B1B8C"/>
    <w:rsid w:val="003B1E48"/>
    <w:rsid w:val="003B2B37"/>
    <w:rsid w:val="003B331C"/>
    <w:rsid w:val="003B3C0F"/>
    <w:rsid w:val="003B7B9A"/>
    <w:rsid w:val="003C05CA"/>
    <w:rsid w:val="003C1CDA"/>
    <w:rsid w:val="003C2081"/>
    <w:rsid w:val="003C2586"/>
    <w:rsid w:val="003C43B0"/>
    <w:rsid w:val="003C4E76"/>
    <w:rsid w:val="003C7934"/>
    <w:rsid w:val="003C7EBD"/>
    <w:rsid w:val="003D1DDD"/>
    <w:rsid w:val="003D287E"/>
    <w:rsid w:val="003D48D5"/>
    <w:rsid w:val="003D4ED7"/>
    <w:rsid w:val="003D7921"/>
    <w:rsid w:val="003D7AEE"/>
    <w:rsid w:val="003E0E2F"/>
    <w:rsid w:val="003E0FF2"/>
    <w:rsid w:val="003E3AFA"/>
    <w:rsid w:val="003E66F5"/>
    <w:rsid w:val="003E6F62"/>
    <w:rsid w:val="003E7A3F"/>
    <w:rsid w:val="003E7DB4"/>
    <w:rsid w:val="003F0421"/>
    <w:rsid w:val="003F0C82"/>
    <w:rsid w:val="003F3B5A"/>
    <w:rsid w:val="003F5EC0"/>
    <w:rsid w:val="003F6639"/>
    <w:rsid w:val="003F7D7D"/>
    <w:rsid w:val="003F7EF6"/>
    <w:rsid w:val="00400034"/>
    <w:rsid w:val="00400D84"/>
    <w:rsid w:val="00404041"/>
    <w:rsid w:val="00405549"/>
    <w:rsid w:val="0041279E"/>
    <w:rsid w:val="00412A7B"/>
    <w:rsid w:val="0041363C"/>
    <w:rsid w:val="00413C87"/>
    <w:rsid w:val="004150D5"/>
    <w:rsid w:val="00415D49"/>
    <w:rsid w:val="00416E1A"/>
    <w:rsid w:val="004173B6"/>
    <w:rsid w:val="004175B8"/>
    <w:rsid w:val="00420328"/>
    <w:rsid w:val="00423FE3"/>
    <w:rsid w:val="00425230"/>
    <w:rsid w:val="00425254"/>
    <w:rsid w:val="004258D9"/>
    <w:rsid w:val="004313CD"/>
    <w:rsid w:val="00431991"/>
    <w:rsid w:val="00431B4B"/>
    <w:rsid w:val="0043359C"/>
    <w:rsid w:val="00433721"/>
    <w:rsid w:val="00433D67"/>
    <w:rsid w:val="0043433F"/>
    <w:rsid w:val="00440C74"/>
    <w:rsid w:val="00451669"/>
    <w:rsid w:val="0045231C"/>
    <w:rsid w:val="004559F4"/>
    <w:rsid w:val="00455BCA"/>
    <w:rsid w:val="00456A8D"/>
    <w:rsid w:val="00456DAE"/>
    <w:rsid w:val="00461332"/>
    <w:rsid w:val="00461C5A"/>
    <w:rsid w:val="00463BF1"/>
    <w:rsid w:val="00463D49"/>
    <w:rsid w:val="00466280"/>
    <w:rsid w:val="004706FA"/>
    <w:rsid w:val="004712E1"/>
    <w:rsid w:val="00475A34"/>
    <w:rsid w:val="00476717"/>
    <w:rsid w:val="00476F75"/>
    <w:rsid w:val="004777AF"/>
    <w:rsid w:val="00477F20"/>
    <w:rsid w:val="0048024F"/>
    <w:rsid w:val="00484CB2"/>
    <w:rsid w:val="00485C3F"/>
    <w:rsid w:val="00492005"/>
    <w:rsid w:val="0049339C"/>
    <w:rsid w:val="00495600"/>
    <w:rsid w:val="004967C9"/>
    <w:rsid w:val="0049681A"/>
    <w:rsid w:val="00497E23"/>
    <w:rsid w:val="004A09B4"/>
    <w:rsid w:val="004A2923"/>
    <w:rsid w:val="004A6682"/>
    <w:rsid w:val="004A6E6D"/>
    <w:rsid w:val="004B06A6"/>
    <w:rsid w:val="004B2C1B"/>
    <w:rsid w:val="004B37F6"/>
    <w:rsid w:val="004B3AF7"/>
    <w:rsid w:val="004B4F9E"/>
    <w:rsid w:val="004B726C"/>
    <w:rsid w:val="004C1445"/>
    <w:rsid w:val="004C4B19"/>
    <w:rsid w:val="004C4DAE"/>
    <w:rsid w:val="004C5CBA"/>
    <w:rsid w:val="004C6879"/>
    <w:rsid w:val="004D0299"/>
    <w:rsid w:val="004D0C69"/>
    <w:rsid w:val="004D1103"/>
    <w:rsid w:val="004D17B2"/>
    <w:rsid w:val="004D221D"/>
    <w:rsid w:val="004D3569"/>
    <w:rsid w:val="004D536E"/>
    <w:rsid w:val="004D56E0"/>
    <w:rsid w:val="004E2608"/>
    <w:rsid w:val="004E4CBB"/>
    <w:rsid w:val="004E5491"/>
    <w:rsid w:val="004E5A3E"/>
    <w:rsid w:val="004F0F81"/>
    <w:rsid w:val="004F10AD"/>
    <w:rsid w:val="004F668D"/>
    <w:rsid w:val="00500112"/>
    <w:rsid w:val="0050064F"/>
    <w:rsid w:val="0050185B"/>
    <w:rsid w:val="00502F84"/>
    <w:rsid w:val="00504E01"/>
    <w:rsid w:val="005055CC"/>
    <w:rsid w:val="005063AF"/>
    <w:rsid w:val="005068A3"/>
    <w:rsid w:val="005075AA"/>
    <w:rsid w:val="00510442"/>
    <w:rsid w:val="00511837"/>
    <w:rsid w:val="00513750"/>
    <w:rsid w:val="00514254"/>
    <w:rsid w:val="00515C33"/>
    <w:rsid w:val="0051774D"/>
    <w:rsid w:val="00520A05"/>
    <w:rsid w:val="0052312D"/>
    <w:rsid w:val="005235F4"/>
    <w:rsid w:val="00524EDC"/>
    <w:rsid w:val="0052516B"/>
    <w:rsid w:val="00527601"/>
    <w:rsid w:val="005279E9"/>
    <w:rsid w:val="005309DA"/>
    <w:rsid w:val="00530BC7"/>
    <w:rsid w:val="005316CE"/>
    <w:rsid w:val="005323E1"/>
    <w:rsid w:val="0053332F"/>
    <w:rsid w:val="00535503"/>
    <w:rsid w:val="005357AC"/>
    <w:rsid w:val="005365BA"/>
    <w:rsid w:val="00536BFB"/>
    <w:rsid w:val="005402DA"/>
    <w:rsid w:val="005409A9"/>
    <w:rsid w:val="005410C9"/>
    <w:rsid w:val="00541B34"/>
    <w:rsid w:val="0054223A"/>
    <w:rsid w:val="00542290"/>
    <w:rsid w:val="00543D2C"/>
    <w:rsid w:val="005442E9"/>
    <w:rsid w:val="0054630B"/>
    <w:rsid w:val="00550F08"/>
    <w:rsid w:val="005524FB"/>
    <w:rsid w:val="0055352F"/>
    <w:rsid w:val="00553863"/>
    <w:rsid w:val="00553E59"/>
    <w:rsid w:val="005561C4"/>
    <w:rsid w:val="005574B7"/>
    <w:rsid w:val="00561466"/>
    <w:rsid w:val="0056179B"/>
    <w:rsid w:val="00563423"/>
    <w:rsid w:val="00564D32"/>
    <w:rsid w:val="00565DE3"/>
    <w:rsid w:val="005708E0"/>
    <w:rsid w:val="00572B69"/>
    <w:rsid w:val="00574DFE"/>
    <w:rsid w:val="00581839"/>
    <w:rsid w:val="00582B22"/>
    <w:rsid w:val="00583B1A"/>
    <w:rsid w:val="00586D83"/>
    <w:rsid w:val="00591E0D"/>
    <w:rsid w:val="00594119"/>
    <w:rsid w:val="00594941"/>
    <w:rsid w:val="005965A9"/>
    <w:rsid w:val="005A2499"/>
    <w:rsid w:val="005A2610"/>
    <w:rsid w:val="005A31B9"/>
    <w:rsid w:val="005A3C8E"/>
    <w:rsid w:val="005A5587"/>
    <w:rsid w:val="005A601C"/>
    <w:rsid w:val="005A6ED1"/>
    <w:rsid w:val="005B0891"/>
    <w:rsid w:val="005B1709"/>
    <w:rsid w:val="005B2601"/>
    <w:rsid w:val="005B43FF"/>
    <w:rsid w:val="005B4502"/>
    <w:rsid w:val="005B63EE"/>
    <w:rsid w:val="005B6BAD"/>
    <w:rsid w:val="005C03F6"/>
    <w:rsid w:val="005C18B5"/>
    <w:rsid w:val="005C1F9B"/>
    <w:rsid w:val="005C38C5"/>
    <w:rsid w:val="005C5080"/>
    <w:rsid w:val="005C5CDB"/>
    <w:rsid w:val="005D0F4E"/>
    <w:rsid w:val="005D195F"/>
    <w:rsid w:val="005D1D74"/>
    <w:rsid w:val="005D2E6B"/>
    <w:rsid w:val="005D3DF0"/>
    <w:rsid w:val="005D3FB5"/>
    <w:rsid w:val="005D6FFB"/>
    <w:rsid w:val="005E13BD"/>
    <w:rsid w:val="005E18B8"/>
    <w:rsid w:val="005E2099"/>
    <w:rsid w:val="005E28E5"/>
    <w:rsid w:val="005E3C1B"/>
    <w:rsid w:val="005E52A0"/>
    <w:rsid w:val="005E7F5A"/>
    <w:rsid w:val="005F0C76"/>
    <w:rsid w:val="005F4477"/>
    <w:rsid w:val="005F4723"/>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583"/>
    <w:rsid w:val="00627A80"/>
    <w:rsid w:val="006323BE"/>
    <w:rsid w:val="0064251C"/>
    <w:rsid w:val="006459A5"/>
    <w:rsid w:val="00650929"/>
    <w:rsid w:val="00653B9F"/>
    <w:rsid w:val="006555C0"/>
    <w:rsid w:val="00657D64"/>
    <w:rsid w:val="00657D7A"/>
    <w:rsid w:val="00662067"/>
    <w:rsid w:val="0066350F"/>
    <w:rsid w:val="00663C83"/>
    <w:rsid w:val="006649F6"/>
    <w:rsid w:val="00666863"/>
    <w:rsid w:val="006706EF"/>
    <w:rsid w:val="006720B4"/>
    <w:rsid w:val="00672307"/>
    <w:rsid w:val="00677D1E"/>
    <w:rsid w:val="00680C16"/>
    <w:rsid w:val="006814F5"/>
    <w:rsid w:val="006816B7"/>
    <w:rsid w:val="00682972"/>
    <w:rsid w:val="00684496"/>
    <w:rsid w:val="006844A9"/>
    <w:rsid w:val="00685769"/>
    <w:rsid w:val="0068584A"/>
    <w:rsid w:val="00685F58"/>
    <w:rsid w:val="00686179"/>
    <w:rsid w:val="00687950"/>
    <w:rsid w:val="006906CF"/>
    <w:rsid w:val="00692BA2"/>
    <w:rsid w:val="0069315B"/>
    <w:rsid w:val="00693CA0"/>
    <w:rsid w:val="006945FE"/>
    <w:rsid w:val="00694C89"/>
    <w:rsid w:val="006956EF"/>
    <w:rsid w:val="00695901"/>
    <w:rsid w:val="006A085B"/>
    <w:rsid w:val="006A09E3"/>
    <w:rsid w:val="006A1376"/>
    <w:rsid w:val="006A2066"/>
    <w:rsid w:val="006A39B9"/>
    <w:rsid w:val="006A781E"/>
    <w:rsid w:val="006B25AE"/>
    <w:rsid w:val="006B2D0C"/>
    <w:rsid w:val="006B3690"/>
    <w:rsid w:val="006B3F6B"/>
    <w:rsid w:val="006B4E89"/>
    <w:rsid w:val="006B74A7"/>
    <w:rsid w:val="006C3DAC"/>
    <w:rsid w:val="006C648D"/>
    <w:rsid w:val="006C73DA"/>
    <w:rsid w:val="006C7A4C"/>
    <w:rsid w:val="006C7EE5"/>
    <w:rsid w:val="006D02B7"/>
    <w:rsid w:val="006D31EA"/>
    <w:rsid w:val="006D3250"/>
    <w:rsid w:val="006E081A"/>
    <w:rsid w:val="006E09BE"/>
    <w:rsid w:val="006E1180"/>
    <w:rsid w:val="006E3083"/>
    <w:rsid w:val="006E3DA9"/>
    <w:rsid w:val="006E4398"/>
    <w:rsid w:val="006E66CE"/>
    <w:rsid w:val="006E68A4"/>
    <w:rsid w:val="006E6A57"/>
    <w:rsid w:val="006E7202"/>
    <w:rsid w:val="006E7824"/>
    <w:rsid w:val="006F0C7A"/>
    <w:rsid w:val="006F0E06"/>
    <w:rsid w:val="006F1774"/>
    <w:rsid w:val="006F1E83"/>
    <w:rsid w:val="006F374A"/>
    <w:rsid w:val="006F3AF0"/>
    <w:rsid w:val="006F4E7D"/>
    <w:rsid w:val="006F5928"/>
    <w:rsid w:val="007002AE"/>
    <w:rsid w:val="0070228E"/>
    <w:rsid w:val="00704EA2"/>
    <w:rsid w:val="007059B1"/>
    <w:rsid w:val="007072EF"/>
    <w:rsid w:val="007107F1"/>
    <w:rsid w:val="007109CB"/>
    <w:rsid w:val="0071115C"/>
    <w:rsid w:val="00711CCE"/>
    <w:rsid w:val="00713D68"/>
    <w:rsid w:val="007148EA"/>
    <w:rsid w:val="00717407"/>
    <w:rsid w:val="00717DBE"/>
    <w:rsid w:val="0072006E"/>
    <w:rsid w:val="007203FF"/>
    <w:rsid w:val="0072147B"/>
    <w:rsid w:val="007222AB"/>
    <w:rsid w:val="007261FA"/>
    <w:rsid w:val="00731E1B"/>
    <w:rsid w:val="0073288F"/>
    <w:rsid w:val="00732A17"/>
    <w:rsid w:val="00732F98"/>
    <w:rsid w:val="007345B3"/>
    <w:rsid w:val="00734C07"/>
    <w:rsid w:val="007353ED"/>
    <w:rsid w:val="00736219"/>
    <w:rsid w:val="00736AAB"/>
    <w:rsid w:val="007415B6"/>
    <w:rsid w:val="0074199D"/>
    <w:rsid w:val="00741CE7"/>
    <w:rsid w:val="00743BAD"/>
    <w:rsid w:val="00744A23"/>
    <w:rsid w:val="00750FAA"/>
    <w:rsid w:val="007527DB"/>
    <w:rsid w:val="00753C4A"/>
    <w:rsid w:val="00755E88"/>
    <w:rsid w:val="00756022"/>
    <w:rsid w:val="0075727D"/>
    <w:rsid w:val="00757C60"/>
    <w:rsid w:val="007613FE"/>
    <w:rsid w:val="00763769"/>
    <w:rsid w:val="007648FA"/>
    <w:rsid w:val="0076783C"/>
    <w:rsid w:val="00770949"/>
    <w:rsid w:val="00770EFB"/>
    <w:rsid w:val="00772362"/>
    <w:rsid w:val="00773FD6"/>
    <w:rsid w:val="00776EBD"/>
    <w:rsid w:val="00777103"/>
    <w:rsid w:val="00782049"/>
    <w:rsid w:val="00782A41"/>
    <w:rsid w:val="00783C43"/>
    <w:rsid w:val="0079088D"/>
    <w:rsid w:val="00790AA2"/>
    <w:rsid w:val="00790DC9"/>
    <w:rsid w:val="0079114E"/>
    <w:rsid w:val="007928A5"/>
    <w:rsid w:val="0079342B"/>
    <w:rsid w:val="00795873"/>
    <w:rsid w:val="007A09A2"/>
    <w:rsid w:val="007A18DC"/>
    <w:rsid w:val="007A368E"/>
    <w:rsid w:val="007A4AE4"/>
    <w:rsid w:val="007A7A53"/>
    <w:rsid w:val="007B4BCA"/>
    <w:rsid w:val="007C11D5"/>
    <w:rsid w:val="007C15EA"/>
    <w:rsid w:val="007C31C1"/>
    <w:rsid w:val="007C33A2"/>
    <w:rsid w:val="007C5D37"/>
    <w:rsid w:val="007C664E"/>
    <w:rsid w:val="007D1A7B"/>
    <w:rsid w:val="007D2A55"/>
    <w:rsid w:val="007D4DBC"/>
    <w:rsid w:val="007D4E1C"/>
    <w:rsid w:val="007E00A1"/>
    <w:rsid w:val="007E0864"/>
    <w:rsid w:val="007E2333"/>
    <w:rsid w:val="007E3821"/>
    <w:rsid w:val="007E3852"/>
    <w:rsid w:val="007F05C3"/>
    <w:rsid w:val="007F1CAD"/>
    <w:rsid w:val="007F33EE"/>
    <w:rsid w:val="007F435B"/>
    <w:rsid w:val="007F4891"/>
    <w:rsid w:val="007F5B82"/>
    <w:rsid w:val="007F5E39"/>
    <w:rsid w:val="007F7123"/>
    <w:rsid w:val="00801498"/>
    <w:rsid w:val="00804B8C"/>
    <w:rsid w:val="00805B80"/>
    <w:rsid w:val="008062BF"/>
    <w:rsid w:val="008076AF"/>
    <w:rsid w:val="00807A20"/>
    <w:rsid w:val="00807EE7"/>
    <w:rsid w:val="008109E6"/>
    <w:rsid w:val="00815009"/>
    <w:rsid w:val="00815E9D"/>
    <w:rsid w:val="00816955"/>
    <w:rsid w:val="00820EA1"/>
    <w:rsid w:val="008214FB"/>
    <w:rsid w:val="00821DDD"/>
    <w:rsid w:val="00822734"/>
    <w:rsid w:val="008255B3"/>
    <w:rsid w:val="00825AAE"/>
    <w:rsid w:val="00830DC2"/>
    <w:rsid w:val="00830EA2"/>
    <w:rsid w:val="00832453"/>
    <w:rsid w:val="0083558E"/>
    <w:rsid w:val="008377DE"/>
    <w:rsid w:val="008403A8"/>
    <w:rsid w:val="00840754"/>
    <w:rsid w:val="008408B7"/>
    <w:rsid w:val="00842380"/>
    <w:rsid w:val="00844947"/>
    <w:rsid w:val="008476E0"/>
    <w:rsid w:val="00850AE3"/>
    <w:rsid w:val="0085273A"/>
    <w:rsid w:val="00852C24"/>
    <w:rsid w:val="00853A34"/>
    <w:rsid w:val="00853D38"/>
    <w:rsid w:val="00854D9C"/>
    <w:rsid w:val="00854DEF"/>
    <w:rsid w:val="008601FD"/>
    <w:rsid w:val="00860C39"/>
    <w:rsid w:val="00861DDA"/>
    <w:rsid w:val="00861DE3"/>
    <w:rsid w:val="00862119"/>
    <w:rsid w:val="00862614"/>
    <w:rsid w:val="00865E66"/>
    <w:rsid w:val="00871192"/>
    <w:rsid w:val="00873DA6"/>
    <w:rsid w:val="008740E6"/>
    <w:rsid w:val="008741EB"/>
    <w:rsid w:val="00874F84"/>
    <w:rsid w:val="0087511C"/>
    <w:rsid w:val="008752D6"/>
    <w:rsid w:val="00877843"/>
    <w:rsid w:val="0088055E"/>
    <w:rsid w:val="00881CAE"/>
    <w:rsid w:val="00882D70"/>
    <w:rsid w:val="00883150"/>
    <w:rsid w:val="00890733"/>
    <w:rsid w:val="00891B35"/>
    <w:rsid w:val="00893068"/>
    <w:rsid w:val="0089383F"/>
    <w:rsid w:val="008948A5"/>
    <w:rsid w:val="00895D68"/>
    <w:rsid w:val="008A2420"/>
    <w:rsid w:val="008A250A"/>
    <w:rsid w:val="008A3498"/>
    <w:rsid w:val="008A4357"/>
    <w:rsid w:val="008A4FC2"/>
    <w:rsid w:val="008B0293"/>
    <w:rsid w:val="008B4EFF"/>
    <w:rsid w:val="008B57DF"/>
    <w:rsid w:val="008C394D"/>
    <w:rsid w:val="008C3ECC"/>
    <w:rsid w:val="008C4E81"/>
    <w:rsid w:val="008C5F79"/>
    <w:rsid w:val="008C6F01"/>
    <w:rsid w:val="008D16E0"/>
    <w:rsid w:val="008D19DC"/>
    <w:rsid w:val="008D4EE4"/>
    <w:rsid w:val="008D50C8"/>
    <w:rsid w:val="008D6456"/>
    <w:rsid w:val="008E2144"/>
    <w:rsid w:val="008E399F"/>
    <w:rsid w:val="008E3B9F"/>
    <w:rsid w:val="008E6340"/>
    <w:rsid w:val="008E672B"/>
    <w:rsid w:val="008F30D8"/>
    <w:rsid w:val="008F3544"/>
    <w:rsid w:val="008F4560"/>
    <w:rsid w:val="008F6C46"/>
    <w:rsid w:val="009007D6"/>
    <w:rsid w:val="009009EF"/>
    <w:rsid w:val="009010BE"/>
    <w:rsid w:val="00901733"/>
    <w:rsid w:val="009035BC"/>
    <w:rsid w:val="009042C2"/>
    <w:rsid w:val="00907FA5"/>
    <w:rsid w:val="00911865"/>
    <w:rsid w:val="00913D2E"/>
    <w:rsid w:val="00923B9E"/>
    <w:rsid w:val="009249BA"/>
    <w:rsid w:val="00926AEF"/>
    <w:rsid w:val="00927905"/>
    <w:rsid w:val="00930A3A"/>
    <w:rsid w:val="009317F0"/>
    <w:rsid w:val="009327B1"/>
    <w:rsid w:val="00932DF6"/>
    <w:rsid w:val="00935BC9"/>
    <w:rsid w:val="00935DBD"/>
    <w:rsid w:val="009415CC"/>
    <w:rsid w:val="00942605"/>
    <w:rsid w:val="00942A0A"/>
    <w:rsid w:val="00942E42"/>
    <w:rsid w:val="009430D2"/>
    <w:rsid w:val="00950EBF"/>
    <w:rsid w:val="00951C9C"/>
    <w:rsid w:val="009547BC"/>
    <w:rsid w:val="00954A5E"/>
    <w:rsid w:val="009554F2"/>
    <w:rsid w:val="00960774"/>
    <w:rsid w:val="0096173F"/>
    <w:rsid w:val="009623F7"/>
    <w:rsid w:val="00966581"/>
    <w:rsid w:val="009676E9"/>
    <w:rsid w:val="00974533"/>
    <w:rsid w:val="00975DDB"/>
    <w:rsid w:val="00977343"/>
    <w:rsid w:val="00980199"/>
    <w:rsid w:val="00980252"/>
    <w:rsid w:val="00982391"/>
    <w:rsid w:val="0098297B"/>
    <w:rsid w:val="00983817"/>
    <w:rsid w:val="00983EC4"/>
    <w:rsid w:val="009840D1"/>
    <w:rsid w:val="00985EF8"/>
    <w:rsid w:val="009873C5"/>
    <w:rsid w:val="00987C3F"/>
    <w:rsid w:val="00991654"/>
    <w:rsid w:val="009944BB"/>
    <w:rsid w:val="00994C05"/>
    <w:rsid w:val="00995B7E"/>
    <w:rsid w:val="009977FE"/>
    <w:rsid w:val="00997816"/>
    <w:rsid w:val="009A1E29"/>
    <w:rsid w:val="009A2478"/>
    <w:rsid w:val="009A577A"/>
    <w:rsid w:val="009A6933"/>
    <w:rsid w:val="009B0850"/>
    <w:rsid w:val="009B1576"/>
    <w:rsid w:val="009B1A4B"/>
    <w:rsid w:val="009B1F37"/>
    <w:rsid w:val="009B2993"/>
    <w:rsid w:val="009B4A92"/>
    <w:rsid w:val="009B5C02"/>
    <w:rsid w:val="009B663C"/>
    <w:rsid w:val="009B7064"/>
    <w:rsid w:val="009C05F6"/>
    <w:rsid w:val="009C18CE"/>
    <w:rsid w:val="009C1927"/>
    <w:rsid w:val="009C1A1D"/>
    <w:rsid w:val="009C1F08"/>
    <w:rsid w:val="009C2919"/>
    <w:rsid w:val="009C3151"/>
    <w:rsid w:val="009C46E7"/>
    <w:rsid w:val="009C5418"/>
    <w:rsid w:val="009C5ADB"/>
    <w:rsid w:val="009C6F85"/>
    <w:rsid w:val="009C7BC2"/>
    <w:rsid w:val="009D1727"/>
    <w:rsid w:val="009D1E09"/>
    <w:rsid w:val="009D42D4"/>
    <w:rsid w:val="009D4583"/>
    <w:rsid w:val="009E1269"/>
    <w:rsid w:val="009E131B"/>
    <w:rsid w:val="009E1C42"/>
    <w:rsid w:val="009E1DE7"/>
    <w:rsid w:val="009E301C"/>
    <w:rsid w:val="009E3229"/>
    <w:rsid w:val="009E45F2"/>
    <w:rsid w:val="009E4DC2"/>
    <w:rsid w:val="009E591F"/>
    <w:rsid w:val="009E743C"/>
    <w:rsid w:val="009F4CA9"/>
    <w:rsid w:val="00A0104D"/>
    <w:rsid w:val="00A02F4E"/>
    <w:rsid w:val="00A036F8"/>
    <w:rsid w:val="00A0417E"/>
    <w:rsid w:val="00A04D0B"/>
    <w:rsid w:val="00A058BE"/>
    <w:rsid w:val="00A1181E"/>
    <w:rsid w:val="00A13A99"/>
    <w:rsid w:val="00A1493D"/>
    <w:rsid w:val="00A14E07"/>
    <w:rsid w:val="00A15127"/>
    <w:rsid w:val="00A1562D"/>
    <w:rsid w:val="00A1679F"/>
    <w:rsid w:val="00A17425"/>
    <w:rsid w:val="00A222FB"/>
    <w:rsid w:val="00A24319"/>
    <w:rsid w:val="00A2537F"/>
    <w:rsid w:val="00A25F07"/>
    <w:rsid w:val="00A3068F"/>
    <w:rsid w:val="00A30851"/>
    <w:rsid w:val="00A319DC"/>
    <w:rsid w:val="00A31E06"/>
    <w:rsid w:val="00A32EBD"/>
    <w:rsid w:val="00A372B0"/>
    <w:rsid w:val="00A407D2"/>
    <w:rsid w:val="00A41F35"/>
    <w:rsid w:val="00A44C9A"/>
    <w:rsid w:val="00A456E1"/>
    <w:rsid w:val="00A50800"/>
    <w:rsid w:val="00A519A0"/>
    <w:rsid w:val="00A53BF6"/>
    <w:rsid w:val="00A55D2C"/>
    <w:rsid w:val="00A60753"/>
    <w:rsid w:val="00A61294"/>
    <w:rsid w:val="00A62D4C"/>
    <w:rsid w:val="00A664BB"/>
    <w:rsid w:val="00A66902"/>
    <w:rsid w:val="00A679B4"/>
    <w:rsid w:val="00A67BBA"/>
    <w:rsid w:val="00A71C97"/>
    <w:rsid w:val="00A7379D"/>
    <w:rsid w:val="00A772CB"/>
    <w:rsid w:val="00A81393"/>
    <w:rsid w:val="00A8226D"/>
    <w:rsid w:val="00A82F2D"/>
    <w:rsid w:val="00A84D57"/>
    <w:rsid w:val="00A84EC4"/>
    <w:rsid w:val="00A9103C"/>
    <w:rsid w:val="00A916C1"/>
    <w:rsid w:val="00A9392B"/>
    <w:rsid w:val="00A95C7B"/>
    <w:rsid w:val="00AA0D32"/>
    <w:rsid w:val="00AA1ECC"/>
    <w:rsid w:val="00AA28D4"/>
    <w:rsid w:val="00AA2B95"/>
    <w:rsid w:val="00AA3A8F"/>
    <w:rsid w:val="00AA542B"/>
    <w:rsid w:val="00AA5A38"/>
    <w:rsid w:val="00AA5D08"/>
    <w:rsid w:val="00AA6DD3"/>
    <w:rsid w:val="00AB0E87"/>
    <w:rsid w:val="00AB0F35"/>
    <w:rsid w:val="00AB46B3"/>
    <w:rsid w:val="00AB4A6B"/>
    <w:rsid w:val="00AB72B2"/>
    <w:rsid w:val="00AC0BB8"/>
    <w:rsid w:val="00AC251C"/>
    <w:rsid w:val="00AC42E0"/>
    <w:rsid w:val="00AC52B1"/>
    <w:rsid w:val="00AC6947"/>
    <w:rsid w:val="00AC703D"/>
    <w:rsid w:val="00AC713F"/>
    <w:rsid w:val="00AD3644"/>
    <w:rsid w:val="00AD4F7F"/>
    <w:rsid w:val="00AD66BC"/>
    <w:rsid w:val="00AE0464"/>
    <w:rsid w:val="00AE12E0"/>
    <w:rsid w:val="00AE1A6B"/>
    <w:rsid w:val="00AE2BEB"/>
    <w:rsid w:val="00AE3451"/>
    <w:rsid w:val="00AE3BF6"/>
    <w:rsid w:val="00AE65EC"/>
    <w:rsid w:val="00AE6A57"/>
    <w:rsid w:val="00AE752A"/>
    <w:rsid w:val="00AF074B"/>
    <w:rsid w:val="00AF2150"/>
    <w:rsid w:val="00AF23FB"/>
    <w:rsid w:val="00B01E46"/>
    <w:rsid w:val="00B024A0"/>
    <w:rsid w:val="00B027D2"/>
    <w:rsid w:val="00B03764"/>
    <w:rsid w:val="00B048AB"/>
    <w:rsid w:val="00B06732"/>
    <w:rsid w:val="00B10E6C"/>
    <w:rsid w:val="00B1558D"/>
    <w:rsid w:val="00B23534"/>
    <w:rsid w:val="00B27CC7"/>
    <w:rsid w:val="00B27DCB"/>
    <w:rsid w:val="00B30DB4"/>
    <w:rsid w:val="00B31378"/>
    <w:rsid w:val="00B31F80"/>
    <w:rsid w:val="00B33466"/>
    <w:rsid w:val="00B33E82"/>
    <w:rsid w:val="00B372E2"/>
    <w:rsid w:val="00B41AA2"/>
    <w:rsid w:val="00B43898"/>
    <w:rsid w:val="00B45717"/>
    <w:rsid w:val="00B46B45"/>
    <w:rsid w:val="00B5022C"/>
    <w:rsid w:val="00B527BF"/>
    <w:rsid w:val="00B5300E"/>
    <w:rsid w:val="00B53A78"/>
    <w:rsid w:val="00B53DC2"/>
    <w:rsid w:val="00B5417F"/>
    <w:rsid w:val="00B55E8F"/>
    <w:rsid w:val="00B57277"/>
    <w:rsid w:val="00B60510"/>
    <w:rsid w:val="00B614F8"/>
    <w:rsid w:val="00B644E2"/>
    <w:rsid w:val="00B64556"/>
    <w:rsid w:val="00B6588A"/>
    <w:rsid w:val="00B6633C"/>
    <w:rsid w:val="00B670D2"/>
    <w:rsid w:val="00B72201"/>
    <w:rsid w:val="00B73F85"/>
    <w:rsid w:val="00B758EC"/>
    <w:rsid w:val="00B7651E"/>
    <w:rsid w:val="00B76995"/>
    <w:rsid w:val="00B7780E"/>
    <w:rsid w:val="00B77A5C"/>
    <w:rsid w:val="00B77F5F"/>
    <w:rsid w:val="00B828F4"/>
    <w:rsid w:val="00B861D0"/>
    <w:rsid w:val="00B87A47"/>
    <w:rsid w:val="00B87F2D"/>
    <w:rsid w:val="00B92A20"/>
    <w:rsid w:val="00B93822"/>
    <w:rsid w:val="00B94447"/>
    <w:rsid w:val="00B95493"/>
    <w:rsid w:val="00BA2588"/>
    <w:rsid w:val="00BA5ABB"/>
    <w:rsid w:val="00BB01EA"/>
    <w:rsid w:val="00BB4B52"/>
    <w:rsid w:val="00BB5485"/>
    <w:rsid w:val="00BB5B37"/>
    <w:rsid w:val="00BC0687"/>
    <w:rsid w:val="00BC1DA6"/>
    <w:rsid w:val="00BC3A24"/>
    <w:rsid w:val="00BC44AA"/>
    <w:rsid w:val="00BC48AF"/>
    <w:rsid w:val="00BC5C86"/>
    <w:rsid w:val="00BD1BDE"/>
    <w:rsid w:val="00BD2C36"/>
    <w:rsid w:val="00BD30CB"/>
    <w:rsid w:val="00BD3161"/>
    <w:rsid w:val="00BD352C"/>
    <w:rsid w:val="00BD4097"/>
    <w:rsid w:val="00BD580A"/>
    <w:rsid w:val="00BD7CD0"/>
    <w:rsid w:val="00BE08A3"/>
    <w:rsid w:val="00BE1A83"/>
    <w:rsid w:val="00BE7FAD"/>
    <w:rsid w:val="00BF0E77"/>
    <w:rsid w:val="00BF2F4F"/>
    <w:rsid w:val="00BF4716"/>
    <w:rsid w:val="00BF550C"/>
    <w:rsid w:val="00BF550E"/>
    <w:rsid w:val="00C002A0"/>
    <w:rsid w:val="00C0198D"/>
    <w:rsid w:val="00C01A2D"/>
    <w:rsid w:val="00C04CC0"/>
    <w:rsid w:val="00C10992"/>
    <w:rsid w:val="00C11956"/>
    <w:rsid w:val="00C1273E"/>
    <w:rsid w:val="00C1401E"/>
    <w:rsid w:val="00C14546"/>
    <w:rsid w:val="00C16B81"/>
    <w:rsid w:val="00C177B3"/>
    <w:rsid w:val="00C20DE7"/>
    <w:rsid w:val="00C20F3D"/>
    <w:rsid w:val="00C2142E"/>
    <w:rsid w:val="00C21CF7"/>
    <w:rsid w:val="00C246EA"/>
    <w:rsid w:val="00C24D40"/>
    <w:rsid w:val="00C2709F"/>
    <w:rsid w:val="00C2748D"/>
    <w:rsid w:val="00C27E02"/>
    <w:rsid w:val="00C3021B"/>
    <w:rsid w:val="00C31C54"/>
    <w:rsid w:val="00C324A5"/>
    <w:rsid w:val="00C3339B"/>
    <w:rsid w:val="00C33A85"/>
    <w:rsid w:val="00C3532F"/>
    <w:rsid w:val="00C35F77"/>
    <w:rsid w:val="00C42E4B"/>
    <w:rsid w:val="00C45DD1"/>
    <w:rsid w:val="00C47194"/>
    <w:rsid w:val="00C511E1"/>
    <w:rsid w:val="00C5328B"/>
    <w:rsid w:val="00C54932"/>
    <w:rsid w:val="00C55A8D"/>
    <w:rsid w:val="00C563C0"/>
    <w:rsid w:val="00C57FAA"/>
    <w:rsid w:val="00C60288"/>
    <w:rsid w:val="00C60681"/>
    <w:rsid w:val="00C61347"/>
    <w:rsid w:val="00C6180B"/>
    <w:rsid w:val="00C61B5B"/>
    <w:rsid w:val="00C6377D"/>
    <w:rsid w:val="00C66555"/>
    <w:rsid w:val="00C70D15"/>
    <w:rsid w:val="00C723FD"/>
    <w:rsid w:val="00C72845"/>
    <w:rsid w:val="00C73103"/>
    <w:rsid w:val="00C73265"/>
    <w:rsid w:val="00C74DCD"/>
    <w:rsid w:val="00C7566D"/>
    <w:rsid w:val="00C767BD"/>
    <w:rsid w:val="00C76D2A"/>
    <w:rsid w:val="00C7702A"/>
    <w:rsid w:val="00C839D2"/>
    <w:rsid w:val="00C9039F"/>
    <w:rsid w:val="00C90D2B"/>
    <w:rsid w:val="00C918CD"/>
    <w:rsid w:val="00C91E4F"/>
    <w:rsid w:val="00C92B28"/>
    <w:rsid w:val="00C93AAA"/>
    <w:rsid w:val="00C94269"/>
    <w:rsid w:val="00C9559E"/>
    <w:rsid w:val="00C97061"/>
    <w:rsid w:val="00C971AB"/>
    <w:rsid w:val="00CA35E6"/>
    <w:rsid w:val="00CA520C"/>
    <w:rsid w:val="00CA590C"/>
    <w:rsid w:val="00CA644D"/>
    <w:rsid w:val="00CA67E7"/>
    <w:rsid w:val="00CA7E46"/>
    <w:rsid w:val="00CB0AA1"/>
    <w:rsid w:val="00CB2027"/>
    <w:rsid w:val="00CB2486"/>
    <w:rsid w:val="00CB35D2"/>
    <w:rsid w:val="00CB4938"/>
    <w:rsid w:val="00CB61EC"/>
    <w:rsid w:val="00CB6AF8"/>
    <w:rsid w:val="00CC0098"/>
    <w:rsid w:val="00CC1D47"/>
    <w:rsid w:val="00CC2052"/>
    <w:rsid w:val="00CC3C48"/>
    <w:rsid w:val="00CC3C74"/>
    <w:rsid w:val="00CC6AB9"/>
    <w:rsid w:val="00CC74E0"/>
    <w:rsid w:val="00CD080A"/>
    <w:rsid w:val="00CD0D94"/>
    <w:rsid w:val="00CD17F8"/>
    <w:rsid w:val="00CD410A"/>
    <w:rsid w:val="00CD456B"/>
    <w:rsid w:val="00CD45FF"/>
    <w:rsid w:val="00CD70C3"/>
    <w:rsid w:val="00CD7D70"/>
    <w:rsid w:val="00CE1571"/>
    <w:rsid w:val="00CE5297"/>
    <w:rsid w:val="00CE7E31"/>
    <w:rsid w:val="00CF03FE"/>
    <w:rsid w:val="00CF3D5B"/>
    <w:rsid w:val="00CF5F41"/>
    <w:rsid w:val="00D029DF"/>
    <w:rsid w:val="00D02A99"/>
    <w:rsid w:val="00D051D6"/>
    <w:rsid w:val="00D05D29"/>
    <w:rsid w:val="00D073F4"/>
    <w:rsid w:val="00D149E4"/>
    <w:rsid w:val="00D15303"/>
    <w:rsid w:val="00D23124"/>
    <w:rsid w:val="00D236C5"/>
    <w:rsid w:val="00D24253"/>
    <w:rsid w:val="00D24FF5"/>
    <w:rsid w:val="00D2630A"/>
    <w:rsid w:val="00D268BF"/>
    <w:rsid w:val="00D3043C"/>
    <w:rsid w:val="00D3367A"/>
    <w:rsid w:val="00D33D8F"/>
    <w:rsid w:val="00D35450"/>
    <w:rsid w:val="00D355DE"/>
    <w:rsid w:val="00D355FB"/>
    <w:rsid w:val="00D358BA"/>
    <w:rsid w:val="00D37670"/>
    <w:rsid w:val="00D4029F"/>
    <w:rsid w:val="00D42CE4"/>
    <w:rsid w:val="00D43664"/>
    <w:rsid w:val="00D4375B"/>
    <w:rsid w:val="00D5177C"/>
    <w:rsid w:val="00D536F2"/>
    <w:rsid w:val="00D56716"/>
    <w:rsid w:val="00D5772B"/>
    <w:rsid w:val="00D61E18"/>
    <w:rsid w:val="00D62266"/>
    <w:rsid w:val="00D6248E"/>
    <w:rsid w:val="00D64249"/>
    <w:rsid w:val="00D64D8E"/>
    <w:rsid w:val="00D6589C"/>
    <w:rsid w:val="00D82608"/>
    <w:rsid w:val="00D839B1"/>
    <w:rsid w:val="00D83C69"/>
    <w:rsid w:val="00D845F0"/>
    <w:rsid w:val="00D86EEF"/>
    <w:rsid w:val="00D92A8D"/>
    <w:rsid w:val="00D92D29"/>
    <w:rsid w:val="00D95A7A"/>
    <w:rsid w:val="00D95C80"/>
    <w:rsid w:val="00D969E8"/>
    <w:rsid w:val="00D96ACF"/>
    <w:rsid w:val="00DA0611"/>
    <w:rsid w:val="00DA2027"/>
    <w:rsid w:val="00DA212D"/>
    <w:rsid w:val="00DA36F1"/>
    <w:rsid w:val="00DA3C49"/>
    <w:rsid w:val="00DB3577"/>
    <w:rsid w:val="00DB4759"/>
    <w:rsid w:val="00DB4DF0"/>
    <w:rsid w:val="00DB5B99"/>
    <w:rsid w:val="00DB6AAE"/>
    <w:rsid w:val="00DB6DB4"/>
    <w:rsid w:val="00DB76C8"/>
    <w:rsid w:val="00DB7CBF"/>
    <w:rsid w:val="00DC0FD7"/>
    <w:rsid w:val="00DC1ACB"/>
    <w:rsid w:val="00DC331F"/>
    <w:rsid w:val="00DD12B4"/>
    <w:rsid w:val="00DD3D50"/>
    <w:rsid w:val="00DD48E0"/>
    <w:rsid w:val="00DD559A"/>
    <w:rsid w:val="00DD574E"/>
    <w:rsid w:val="00DD60EB"/>
    <w:rsid w:val="00DE078C"/>
    <w:rsid w:val="00DE1C3F"/>
    <w:rsid w:val="00DF0011"/>
    <w:rsid w:val="00DF0C31"/>
    <w:rsid w:val="00DF2967"/>
    <w:rsid w:val="00DF37F4"/>
    <w:rsid w:val="00DF4009"/>
    <w:rsid w:val="00DF4123"/>
    <w:rsid w:val="00DF4DAE"/>
    <w:rsid w:val="00DF5933"/>
    <w:rsid w:val="00E00B79"/>
    <w:rsid w:val="00E01842"/>
    <w:rsid w:val="00E02D7A"/>
    <w:rsid w:val="00E03EE2"/>
    <w:rsid w:val="00E0613C"/>
    <w:rsid w:val="00E11067"/>
    <w:rsid w:val="00E12C13"/>
    <w:rsid w:val="00E135BA"/>
    <w:rsid w:val="00E13D81"/>
    <w:rsid w:val="00E13E7F"/>
    <w:rsid w:val="00E148FC"/>
    <w:rsid w:val="00E15259"/>
    <w:rsid w:val="00E15CA3"/>
    <w:rsid w:val="00E162DC"/>
    <w:rsid w:val="00E16594"/>
    <w:rsid w:val="00E17AA9"/>
    <w:rsid w:val="00E17BBE"/>
    <w:rsid w:val="00E20A8D"/>
    <w:rsid w:val="00E21FE5"/>
    <w:rsid w:val="00E23AC1"/>
    <w:rsid w:val="00E23EA9"/>
    <w:rsid w:val="00E25DB3"/>
    <w:rsid w:val="00E30C94"/>
    <w:rsid w:val="00E31389"/>
    <w:rsid w:val="00E31CDD"/>
    <w:rsid w:val="00E31D0E"/>
    <w:rsid w:val="00E32491"/>
    <w:rsid w:val="00E331A8"/>
    <w:rsid w:val="00E350C8"/>
    <w:rsid w:val="00E35BAD"/>
    <w:rsid w:val="00E35D9E"/>
    <w:rsid w:val="00E40C63"/>
    <w:rsid w:val="00E41451"/>
    <w:rsid w:val="00E42992"/>
    <w:rsid w:val="00E43305"/>
    <w:rsid w:val="00E45380"/>
    <w:rsid w:val="00E4583F"/>
    <w:rsid w:val="00E504E8"/>
    <w:rsid w:val="00E54656"/>
    <w:rsid w:val="00E549EE"/>
    <w:rsid w:val="00E56A1B"/>
    <w:rsid w:val="00E56AF4"/>
    <w:rsid w:val="00E5777D"/>
    <w:rsid w:val="00E57EDE"/>
    <w:rsid w:val="00E61EC5"/>
    <w:rsid w:val="00E6428A"/>
    <w:rsid w:val="00E6706E"/>
    <w:rsid w:val="00E72497"/>
    <w:rsid w:val="00E74286"/>
    <w:rsid w:val="00E747E6"/>
    <w:rsid w:val="00E75D46"/>
    <w:rsid w:val="00E771FD"/>
    <w:rsid w:val="00E82432"/>
    <w:rsid w:val="00E824C2"/>
    <w:rsid w:val="00E85766"/>
    <w:rsid w:val="00E85E11"/>
    <w:rsid w:val="00E900AF"/>
    <w:rsid w:val="00E90A23"/>
    <w:rsid w:val="00EA0E8D"/>
    <w:rsid w:val="00EA11C0"/>
    <w:rsid w:val="00EA1E8C"/>
    <w:rsid w:val="00EA2610"/>
    <w:rsid w:val="00EA34A2"/>
    <w:rsid w:val="00EA4B14"/>
    <w:rsid w:val="00EA4CF3"/>
    <w:rsid w:val="00EA5E6C"/>
    <w:rsid w:val="00EB1500"/>
    <w:rsid w:val="00EB445C"/>
    <w:rsid w:val="00EB4AE2"/>
    <w:rsid w:val="00EB76D3"/>
    <w:rsid w:val="00EB7A0D"/>
    <w:rsid w:val="00EC0896"/>
    <w:rsid w:val="00EC0D19"/>
    <w:rsid w:val="00EC1206"/>
    <w:rsid w:val="00EC1848"/>
    <w:rsid w:val="00EC29ED"/>
    <w:rsid w:val="00EC3469"/>
    <w:rsid w:val="00EC4403"/>
    <w:rsid w:val="00EC5EE5"/>
    <w:rsid w:val="00EC63CC"/>
    <w:rsid w:val="00EE2890"/>
    <w:rsid w:val="00EE2A59"/>
    <w:rsid w:val="00EE3E37"/>
    <w:rsid w:val="00EE4024"/>
    <w:rsid w:val="00EE4140"/>
    <w:rsid w:val="00EE447C"/>
    <w:rsid w:val="00EF293F"/>
    <w:rsid w:val="00EF2BA9"/>
    <w:rsid w:val="00EF2ED3"/>
    <w:rsid w:val="00EF3391"/>
    <w:rsid w:val="00EF3AE2"/>
    <w:rsid w:val="00EF66BE"/>
    <w:rsid w:val="00EF7180"/>
    <w:rsid w:val="00F00FBA"/>
    <w:rsid w:val="00F04DF8"/>
    <w:rsid w:val="00F06491"/>
    <w:rsid w:val="00F11C96"/>
    <w:rsid w:val="00F11D7D"/>
    <w:rsid w:val="00F1378A"/>
    <w:rsid w:val="00F156FE"/>
    <w:rsid w:val="00F15C90"/>
    <w:rsid w:val="00F15E29"/>
    <w:rsid w:val="00F17E73"/>
    <w:rsid w:val="00F20FBE"/>
    <w:rsid w:val="00F21E54"/>
    <w:rsid w:val="00F237F4"/>
    <w:rsid w:val="00F2511D"/>
    <w:rsid w:val="00F257BC"/>
    <w:rsid w:val="00F265C1"/>
    <w:rsid w:val="00F306B7"/>
    <w:rsid w:val="00F32438"/>
    <w:rsid w:val="00F328E8"/>
    <w:rsid w:val="00F33308"/>
    <w:rsid w:val="00F33D9C"/>
    <w:rsid w:val="00F340F6"/>
    <w:rsid w:val="00F34BD6"/>
    <w:rsid w:val="00F35EAA"/>
    <w:rsid w:val="00F4015B"/>
    <w:rsid w:val="00F4070A"/>
    <w:rsid w:val="00F40F5D"/>
    <w:rsid w:val="00F42BEB"/>
    <w:rsid w:val="00F43D62"/>
    <w:rsid w:val="00F4478C"/>
    <w:rsid w:val="00F45657"/>
    <w:rsid w:val="00F45730"/>
    <w:rsid w:val="00F45E41"/>
    <w:rsid w:val="00F50AE9"/>
    <w:rsid w:val="00F524F8"/>
    <w:rsid w:val="00F55368"/>
    <w:rsid w:val="00F57A6E"/>
    <w:rsid w:val="00F61AE8"/>
    <w:rsid w:val="00F62A07"/>
    <w:rsid w:val="00F67DBB"/>
    <w:rsid w:val="00F711F5"/>
    <w:rsid w:val="00F71B59"/>
    <w:rsid w:val="00F7224E"/>
    <w:rsid w:val="00F72490"/>
    <w:rsid w:val="00F77059"/>
    <w:rsid w:val="00F779DE"/>
    <w:rsid w:val="00F77CC1"/>
    <w:rsid w:val="00F803CB"/>
    <w:rsid w:val="00F80844"/>
    <w:rsid w:val="00F833D5"/>
    <w:rsid w:val="00F84729"/>
    <w:rsid w:val="00F84C5D"/>
    <w:rsid w:val="00F86A2B"/>
    <w:rsid w:val="00F87B24"/>
    <w:rsid w:val="00F87B7A"/>
    <w:rsid w:val="00F90329"/>
    <w:rsid w:val="00F915B5"/>
    <w:rsid w:val="00F91BF1"/>
    <w:rsid w:val="00F946CD"/>
    <w:rsid w:val="00F96DE0"/>
    <w:rsid w:val="00F97FB7"/>
    <w:rsid w:val="00FA08F8"/>
    <w:rsid w:val="00FA0AA9"/>
    <w:rsid w:val="00FA7A80"/>
    <w:rsid w:val="00FB0D73"/>
    <w:rsid w:val="00FB1041"/>
    <w:rsid w:val="00FB10A1"/>
    <w:rsid w:val="00FB21B3"/>
    <w:rsid w:val="00FB2350"/>
    <w:rsid w:val="00FB32C9"/>
    <w:rsid w:val="00FB3C9D"/>
    <w:rsid w:val="00FB4794"/>
    <w:rsid w:val="00FB4F9E"/>
    <w:rsid w:val="00FB77E1"/>
    <w:rsid w:val="00FC0634"/>
    <w:rsid w:val="00FC12EE"/>
    <w:rsid w:val="00FC1729"/>
    <w:rsid w:val="00FC22D1"/>
    <w:rsid w:val="00FC33C8"/>
    <w:rsid w:val="00FC5D7D"/>
    <w:rsid w:val="00FC6C49"/>
    <w:rsid w:val="00FC7347"/>
    <w:rsid w:val="00FC7B89"/>
    <w:rsid w:val="00FD05E3"/>
    <w:rsid w:val="00FD0B3D"/>
    <w:rsid w:val="00FD1E5C"/>
    <w:rsid w:val="00FD2A50"/>
    <w:rsid w:val="00FD3417"/>
    <w:rsid w:val="00FD4CB9"/>
    <w:rsid w:val="00FD571C"/>
    <w:rsid w:val="00FD6BD4"/>
    <w:rsid w:val="00FD74E0"/>
    <w:rsid w:val="00FD7EBF"/>
    <w:rsid w:val="00FE085C"/>
    <w:rsid w:val="00FE22F4"/>
    <w:rsid w:val="00FE461D"/>
    <w:rsid w:val="00FE574D"/>
    <w:rsid w:val="00FE5782"/>
    <w:rsid w:val="00FE6A8C"/>
    <w:rsid w:val="00FE70F4"/>
    <w:rsid w:val="00FE7FE5"/>
    <w:rsid w:val="00FF03B0"/>
    <w:rsid w:val="00FF1EAE"/>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7715B848-64BE-4D08-8CB5-F84271D1A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14"/>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4"/>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4"/>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1"/>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2"/>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3"/>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4"/>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5"/>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목록단락,列出段落,列表段落11"/>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1"/>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tabs>
        <w:tab w:val="left" w:pos="1304"/>
      </w:tabs>
      <w:spacing w:beforeLines="50" w:before="50"/>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6"/>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7"/>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8"/>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9"/>
      </w:numPr>
    </w:pPr>
    <w:rPr>
      <w:rFonts w:ascii="MS PGothic" w:eastAsia="MS PGothic" w:hAnsi="MS PGothic" w:cs="MS PGothic"/>
      <w:sz w:val="24"/>
      <w:szCs w:val="24"/>
      <w:lang w:val="en-US" w:eastAsia="ja-JP"/>
    </w:rPr>
  </w:style>
  <w:style w:type="character" w:customStyle="1" w:styleId="a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0"/>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2"/>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qFormat/>
    <w:rsid w:val="00B93822"/>
  </w:style>
  <w:style w:type="character" w:customStyle="1" w:styleId="WW8Num1z0">
    <w:name w:val="WW8Num1z0"/>
    <w:rsid w:val="00084466"/>
  </w:style>
  <w:style w:type="character" w:customStyle="1" w:styleId="ObservationChar">
    <w:name w:val="Observation Char"/>
    <w:rsid w:val="008A2420"/>
    <w:rPr>
      <w:rFonts w:ascii="Arial" w:hAnsi="Arial"/>
      <w:b/>
      <w:bCs/>
      <w:lang w:val="en-GB"/>
    </w:rPr>
  </w:style>
  <w:style w:type="character" w:customStyle="1" w:styleId="B3Char">
    <w:name w:val="B3 Char"/>
    <w:qFormat/>
    <w:rsid w:val="00830DC2"/>
  </w:style>
  <w:style w:type="paragraph" w:customStyle="1" w:styleId="Comments">
    <w:name w:val="Comments"/>
    <w:basedOn w:val="a0"/>
    <w:link w:val="CommentsChar"/>
    <w:qFormat/>
    <w:rsid w:val="00DD48E0"/>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DD48E0"/>
    <w:rPr>
      <w:rFonts w:ascii="Arial" w:eastAsia="MS Mincho" w:hAnsi="Arial"/>
      <w:i/>
      <w:noProof/>
      <w:sz w:val="18"/>
      <w:szCs w:val="24"/>
      <w:lang w:val="en-GB" w:eastAsia="en-GB"/>
    </w:rPr>
  </w:style>
  <w:style w:type="paragraph" w:customStyle="1" w:styleId="Default">
    <w:name w:val="Default"/>
    <w:rsid w:val="005E18B8"/>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ascii="微软雅黑" w:eastAsia="微软雅黑" w:cs="微软雅黑"/>
      <w:color w:val="000000"/>
      <w:sz w:val="24"/>
      <w:szCs w:val="24"/>
    </w:rPr>
  </w:style>
  <w:style w:type="character" w:customStyle="1" w:styleId="cf01">
    <w:name w:val="cf01"/>
    <w:basedOn w:val="a1"/>
    <w:rsid w:val="00B55E8F"/>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145829860">
      <w:bodyDiv w:val="1"/>
      <w:marLeft w:val="0"/>
      <w:marRight w:val="0"/>
      <w:marTop w:val="0"/>
      <w:marBottom w:val="0"/>
      <w:divBdr>
        <w:top w:val="none" w:sz="0" w:space="0" w:color="auto"/>
        <w:left w:val="none" w:sz="0" w:space="0" w:color="auto"/>
        <w:bottom w:val="none" w:sz="0" w:space="0" w:color="auto"/>
        <w:right w:val="none" w:sz="0" w:space="0" w:color="auto"/>
      </w:divBdr>
      <w:divsChild>
        <w:div w:id="843514370">
          <w:marLeft w:val="1166"/>
          <w:marRight w:val="0"/>
          <w:marTop w:val="86"/>
          <w:marBottom w:val="0"/>
          <w:divBdr>
            <w:top w:val="none" w:sz="0" w:space="0" w:color="auto"/>
            <w:left w:val="none" w:sz="0" w:space="0" w:color="auto"/>
            <w:bottom w:val="none" w:sz="0" w:space="0" w:color="auto"/>
            <w:right w:val="none" w:sz="0" w:space="0" w:color="auto"/>
          </w:divBdr>
        </w:div>
      </w:divsChild>
    </w:div>
    <w:div w:id="151871063">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407729186">
      <w:bodyDiv w:val="1"/>
      <w:marLeft w:val="0"/>
      <w:marRight w:val="0"/>
      <w:marTop w:val="0"/>
      <w:marBottom w:val="0"/>
      <w:divBdr>
        <w:top w:val="none" w:sz="0" w:space="0" w:color="auto"/>
        <w:left w:val="none" w:sz="0" w:space="0" w:color="auto"/>
        <w:bottom w:val="none" w:sz="0" w:space="0" w:color="auto"/>
        <w:right w:val="none" w:sz="0" w:space="0" w:color="auto"/>
      </w:divBdr>
      <w:divsChild>
        <w:div w:id="129596306">
          <w:marLeft w:val="1627"/>
          <w:marRight w:val="0"/>
          <w:marTop w:val="86"/>
          <w:marBottom w:val="60"/>
          <w:divBdr>
            <w:top w:val="none" w:sz="0" w:space="0" w:color="auto"/>
            <w:left w:val="none" w:sz="0" w:space="0" w:color="auto"/>
            <w:bottom w:val="none" w:sz="0" w:space="0" w:color="auto"/>
            <w:right w:val="none" w:sz="0" w:space="0" w:color="auto"/>
          </w:divBdr>
        </w:div>
        <w:div w:id="491062610">
          <w:marLeft w:val="360"/>
          <w:marRight w:val="0"/>
          <w:marTop w:val="86"/>
          <w:marBottom w:val="60"/>
          <w:divBdr>
            <w:top w:val="none" w:sz="0" w:space="0" w:color="auto"/>
            <w:left w:val="none" w:sz="0" w:space="0" w:color="auto"/>
            <w:bottom w:val="none" w:sz="0" w:space="0" w:color="auto"/>
            <w:right w:val="none" w:sz="0" w:space="0" w:color="auto"/>
          </w:divBdr>
        </w:div>
        <w:div w:id="546188388">
          <w:marLeft w:val="1627"/>
          <w:marRight w:val="0"/>
          <w:marTop w:val="86"/>
          <w:marBottom w:val="60"/>
          <w:divBdr>
            <w:top w:val="none" w:sz="0" w:space="0" w:color="auto"/>
            <w:left w:val="none" w:sz="0" w:space="0" w:color="auto"/>
            <w:bottom w:val="none" w:sz="0" w:space="0" w:color="auto"/>
            <w:right w:val="none" w:sz="0" w:space="0" w:color="auto"/>
          </w:divBdr>
        </w:div>
        <w:div w:id="767041140">
          <w:marLeft w:val="360"/>
          <w:marRight w:val="0"/>
          <w:marTop w:val="86"/>
          <w:marBottom w:val="60"/>
          <w:divBdr>
            <w:top w:val="none" w:sz="0" w:space="0" w:color="auto"/>
            <w:left w:val="none" w:sz="0" w:space="0" w:color="auto"/>
            <w:bottom w:val="none" w:sz="0" w:space="0" w:color="auto"/>
            <w:right w:val="none" w:sz="0" w:space="0" w:color="auto"/>
          </w:divBdr>
        </w:div>
        <w:div w:id="1581981088">
          <w:marLeft w:val="360"/>
          <w:marRight w:val="0"/>
          <w:marTop w:val="86"/>
          <w:marBottom w:val="60"/>
          <w:divBdr>
            <w:top w:val="none" w:sz="0" w:space="0" w:color="auto"/>
            <w:left w:val="none" w:sz="0" w:space="0" w:color="auto"/>
            <w:bottom w:val="none" w:sz="0" w:space="0" w:color="auto"/>
            <w:right w:val="none" w:sz="0" w:space="0" w:color="auto"/>
          </w:divBdr>
        </w:div>
        <w:div w:id="1880581963">
          <w:marLeft w:val="994"/>
          <w:marRight w:val="0"/>
          <w:marTop w:val="86"/>
          <w:marBottom w:val="60"/>
          <w:divBdr>
            <w:top w:val="none" w:sz="0" w:space="0" w:color="auto"/>
            <w:left w:val="none" w:sz="0" w:space="0" w:color="auto"/>
            <w:bottom w:val="none" w:sz="0" w:space="0" w:color="auto"/>
            <w:right w:val="none" w:sz="0" w:space="0" w:color="auto"/>
          </w:divBdr>
        </w:div>
        <w:div w:id="1919364338">
          <w:marLeft w:val="994"/>
          <w:marRight w:val="0"/>
          <w:marTop w:val="86"/>
          <w:marBottom w:val="60"/>
          <w:divBdr>
            <w:top w:val="none" w:sz="0" w:space="0" w:color="auto"/>
            <w:left w:val="none" w:sz="0" w:space="0" w:color="auto"/>
            <w:bottom w:val="none" w:sz="0" w:space="0" w:color="auto"/>
            <w:right w:val="none" w:sz="0" w:space="0" w:color="auto"/>
          </w:divBdr>
        </w:div>
      </w:divsChild>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593590738">
      <w:bodyDiv w:val="1"/>
      <w:marLeft w:val="0"/>
      <w:marRight w:val="0"/>
      <w:marTop w:val="0"/>
      <w:marBottom w:val="0"/>
      <w:divBdr>
        <w:top w:val="none" w:sz="0" w:space="0" w:color="auto"/>
        <w:left w:val="none" w:sz="0" w:space="0" w:color="auto"/>
        <w:bottom w:val="none" w:sz="0" w:space="0" w:color="auto"/>
        <w:right w:val="none" w:sz="0" w:space="0" w:color="auto"/>
      </w:divBdr>
      <w:divsChild>
        <w:div w:id="1530872167">
          <w:marLeft w:val="1166"/>
          <w:marRight w:val="0"/>
          <w:marTop w:val="86"/>
          <w:marBottom w:val="0"/>
          <w:divBdr>
            <w:top w:val="none" w:sz="0" w:space="0" w:color="auto"/>
            <w:left w:val="none" w:sz="0" w:space="0" w:color="auto"/>
            <w:bottom w:val="none" w:sz="0" w:space="0" w:color="auto"/>
            <w:right w:val="none" w:sz="0" w:space="0" w:color="auto"/>
          </w:divBdr>
        </w:div>
      </w:divsChild>
    </w:div>
    <w:div w:id="66370756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11306699">
      <w:bodyDiv w:val="1"/>
      <w:marLeft w:val="0"/>
      <w:marRight w:val="0"/>
      <w:marTop w:val="0"/>
      <w:marBottom w:val="0"/>
      <w:divBdr>
        <w:top w:val="none" w:sz="0" w:space="0" w:color="auto"/>
        <w:left w:val="none" w:sz="0" w:space="0" w:color="auto"/>
        <w:bottom w:val="none" w:sz="0" w:space="0" w:color="auto"/>
        <w:right w:val="none" w:sz="0" w:space="0" w:color="auto"/>
      </w:divBdr>
      <w:divsChild>
        <w:div w:id="367754180">
          <w:marLeft w:val="360"/>
          <w:marRight w:val="0"/>
          <w:marTop w:val="86"/>
          <w:marBottom w:val="60"/>
          <w:divBdr>
            <w:top w:val="none" w:sz="0" w:space="0" w:color="auto"/>
            <w:left w:val="none" w:sz="0" w:space="0" w:color="auto"/>
            <w:bottom w:val="none" w:sz="0" w:space="0" w:color="auto"/>
            <w:right w:val="none" w:sz="0" w:space="0" w:color="auto"/>
          </w:divBdr>
        </w:div>
        <w:div w:id="597370896">
          <w:marLeft w:val="994"/>
          <w:marRight w:val="0"/>
          <w:marTop w:val="67"/>
          <w:marBottom w:val="60"/>
          <w:divBdr>
            <w:top w:val="none" w:sz="0" w:space="0" w:color="auto"/>
            <w:left w:val="none" w:sz="0" w:space="0" w:color="auto"/>
            <w:bottom w:val="none" w:sz="0" w:space="0" w:color="auto"/>
            <w:right w:val="none" w:sz="0" w:space="0" w:color="auto"/>
          </w:divBdr>
        </w:div>
        <w:div w:id="1252930051">
          <w:marLeft w:val="994"/>
          <w:marRight w:val="0"/>
          <w:marTop w:val="67"/>
          <w:marBottom w:val="60"/>
          <w:divBdr>
            <w:top w:val="none" w:sz="0" w:space="0" w:color="auto"/>
            <w:left w:val="none" w:sz="0" w:space="0" w:color="auto"/>
            <w:bottom w:val="none" w:sz="0" w:space="0" w:color="auto"/>
            <w:right w:val="none" w:sz="0" w:space="0" w:color="auto"/>
          </w:divBdr>
        </w:div>
        <w:div w:id="1614946732">
          <w:marLeft w:val="994"/>
          <w:marRight w:val="0"/>
          <w:marTop w:val="67"/>
          <w:marBottom w:val="60"/>
          <w:divBdr>
            <w:top w:val="none" w:sz="0" w:space="0" w:color="auto"/>
            <w:left w:val="none" w:sz="0" w:space="0" w:color="auto"/>
            <w:bottom w:val="none" w:sz="0" w:space="0" w:color="auto"/>
            <w:right w:val="none" w:sz="0" w:space="0" w:color="auto"/>
          </w:divBdr>
        </w:div>
      </w:divsChild>
    </w:div>
    <w:div w:id="1472291066">
      <w:bodyDiv w:val="1"/>
      <w:marLeft w:val="0"/>
      <w:marRight w:val="0"/>
      <w:marTop w:val="0"/>
      <w:marBottom w:val="0"/>
      <w:divBdr>
        <w:top w:val="none" w:sz="0" w:space="0" w:color="auto"/>
        <w:left w:val="none" w:sz="0" w:space="0" w:color="auto"/>
        <w:bottom w:val="none" w:sz="0" w:space="0" w:color="auto"/>
        <w:right w:val="none" w:sz="0" w:space="0" w:color="auto"/>
      </w:divBdr>
      <w:divsChild>
        <w:div w:id="534973585">
          <w:marLeft w:val="994"/>
          <w:marRight w:val="0"/>
          <w:marTop w:val="67"/>
          <w:marBottom w:val="60"/>
          <w:divBdr>
            <w:top w:val="none" w:sz="0" w:space="0" w:color="auto"/>
            <w:left w:val="none" w:sz="0" w:space="0" w:color="auto"/>
            <w:bottom w:val="none" w:sz="0" w:space="0" w:color="auto"/>
            <w:right w:val="none" w:sz="0" w:space="0" w:color="auto"/>
          </w:divBdr>
        </w:div>
        <w:div w:id="856961220">
          <w:marLeft w:val="1714"/>
          <w:marRight w:val="0"/>
          <w:marTop w:val="67"/>
          <w:marBottom w:val="60"/>
          <w:divBdr>
            <w:top w:val="none" w:sz="0" w:space="0" w:color="auto"/>
            <w:left w:val="none" w:sz="0" w:space="0" w:color="auto"/>
            <w:bottom w:val="none" w:sz="0" w:space="0" w:color="auto"/>
            <w:right w:val="none" w:sz="0" w:space="0" w:color="auto"/>
          </w:divBdr>
        </w:div>
        <w:div w:id="1036273705">
          <w:marLeft w:val="1714"/>
          <w:marRight w:val="0"/>
          <w:marTop w:val="67"/>
          <w:marBottom w:val="60"/>
          <w:divBdr>
            <w:top w:val="none" w:sz="0" w:space="0" w:color="auto"/>
            <w:left w:val="none" w:sz="0" w:space="0" w:color="auto"/>
            <w:bottom w:val="none" w:sz="0" w:space="0" w:color="auto"/>
            <w:right w:val="none" w:sz="0" w:space="0" w:color="auto"/>
          </w:divBdr>
        </w:div>
        <w:div w:id="1659772619">
          <w:marLeft w:val="1714"/>
          <w:marRight w:val="0"/>
          <w:marTop w:val="67"/>
          <w:marBottom w:val="60"/>
          <w:divBdr>
            <w:top w:val="none" w:sz="0" w:space="0" w:color="auto"/>
            <w:left w:val="none" w:sz="0" w:space="0" w:color="auto"/>
            <w:bottom w:val="none" w:sz="0" w:space="0" w:color="auto"/>
            <w:right w:val="none" w:sz="0" w:space="0" w:color="auto"/>
          </w:divBdr>
        </w:div>
      </w:divsChild>
    </w:div>
    <w:div w:id="1799906517">
      <w:bodyDiv w:val="1"/>
      <w:marLeft w:val="0"/>
      <w:marRight w:val="0"/>
      <w:marTop w:val="0"/>
      <w:marBottom w:val="0"/>
      <w:divBdr>
        <w:top w:val="none" w:sz="0" w:space="0" w:color="auto"/>
        <w:left w:val="none" w:sz="0" w:space="0" w:color="auto"/>
        <w:bottom w:val="none" w:sz="0" w:space="0" w:color="auto"/>
        <w:right w:val="none" w:sz="0" w:space="0" w:color="auto"/>
      </w:divBdr>
    </w:div>
    <w:div w:id="2055693871">
      <w:bodyDiv w:val="1"/>
      <w:marLeft w:val="0"/>
      <w:marRight w:val="0"/>
      <w:marTop w:val="0"/>
      <w:marBottom w:val="0"/>
      <w:divBdr>
        <w:top w:val="none" w:sz="0" w:space="0" w:color="auto"/>
        <w:left w:val="none" w:sz="0" w:space="0" w:color="auto"/>
        <w:bottom w:val="none" w:sz="0" w:space="0" w:color="auto"/>
        <w:right w:val="none" w:sz="0" w:space="0" w:color="auto"/>
      </w:divBdr>
      <w:divsChild>
        <w:div w:id="906844542">
          <w:marLeft w:val="1714"/>
          <w:marRight w:val="0"/>
          <w:marTop w:val="67"/>
          <w:marBottom w:val="60"/>
          <w:divBdr>
            <w:top w:val="none" w:sz="0" w:space="0" w:color="auto"/>
            <w:left w:val="none" w:sz="0" w:space="0" w:color="auto"/>
            <w:bottom w:val="none" w:sz="0" w:space="0" w:color="auto"/>
            <w:right w:val="none" w:sz="0" w:space="0" w:color="auto"/>
          </w:divBdr>
        </w:div>
        <w:div w:id="942610660">
          <w:marLeft w:val="1714"/>
          <w:marRight w:val="0"/>
          <w:marTop w:val="67"/>
          <w:marBottom w:val="60"/>
          <w:divBdr>
            <w:top w:val="none" w:sz="0" w:space="0" w:color="auto"/>
            <w:left w:val="none" w:sz="0" w:space="0" w:color="auto"/>
            <w:bottom w:val="none" w:sz="0" w:space="0" w:color="auto"/>
            <w:right w:val="none" w:sz="0" w:space="0" w:color="auto"/>
          </w:divBdr>
        </w:div>
        <w:div w:id="966357378">
          <w:marLeft w:val="1714"/>
          <w:marRight w:val="0"/>
          <w:marTop w:val="67"/>
          <w:marBottom w:val="60"/>
          <w:divBdr>
            <w:top w:val="none" w:sz="0" w:space="0" w:color="auto"/>
            <w:left w:val="none" w:sz="0" w:space="0" w:color="auto"/>
            <w:bottom w:val="none" w:sz="0" w:space="0" w:color="auto"/>
            <w:right w:val="none" w:sz="0" w:space="0" w:color="auto"/>
          </w:divBdr>
        </w:div>
        <w:div w:id="1341161118">
          <w:marLeft w:val="994"/>
          <w:marRight w:val="0"/>
          <w:marTop w:val="67"/>
          <w:marBottom w:val="60"/>
          <w:divBdr>
            <w:top w:val="none" w:sz="0" w:space="0" w:color="auto"/>
            <w:left w:val="none" w:sz="0" w:space="0" w:color="auto"/>
            <w:bottom w:val="none" w:sz="0" w:space="0" w:color="auto"/>
            <w:right w:val="none" w:sz="0" w:space="0" w:color="auto"/>
          </w:divBdr>
        </w:div>
      </w:divsChild>
    </w:div>
    <w:div w:id="2098205706">
      <w:bodyDiv w:val="1"/>
      <w:marLeft w:val="0"/>
      <w:marRight w:val="0"/>
      <w:marTop w:val="0"/>
      <w:marBottom w:val="0"/>
      <w:divBdr>
        <w:top w:val="none" w:sz="0" w:space="0" w:color="auto"/>
        <w:left w:val="none" w:sz="0" w:space="0" w:color="auto"/>
        <w:bottom w:val="none" w:sz="0" w:space="0" w:color="auto"/>
        <w:right w:val="none" w:sz="0" w:space="0" w:color="auto"/>
      </w:divBdr>
      <w:divsChild>
        <w:div w:id="1587378177">
          <w:marLeft w:val="994"/>
          <w:marRight w:val="0"/>
          <w:marTop w:val="67"/>
          <w:marBottom w:val="60"/>
          <w:divBdr>
            <w:top w:val="none" w:sz="0" w:space="0" w:color="auto"/>
            <w:left w:val="none" w:sz="0" w:space="0" w:color="auto"/>
            <w:bottom w:val="none" w:sz="0" w:space="0" w:color="auto"/>
            <w:right w:val="none" w:sz="0" w:space="0" w:color="auto"/>
          </w:divBdr>
        </w:div>
        <w:div w:id="2033535643">
          <w:marLeft w:val="994"/>
          <w:marRight w:val="0"/>
          <w:marTop w:val="67"/>
          <w:marBottom w:val="60"/>
          <w:divBdr>
            <w:top w:val="none" w:sz="0" w:space="0" w:color="auto"/>
            <w:left w:val="none" w:sz="0" w:space="0" w:color="auto"/>
            <w:bottom w:val="none" w:sz="0" w:space="0" w:color="auto"/>
            <w:right w:val="none" w:sz="0" w:space="0" w:color="auto"/>
          </w:divBdr>
        </w:div>
      </w:divsChild>
    </w:div>
    <w:div w:id="2100830201">
      <w:bodyDiv w:val="1"/>
      <w:marLeft w:val="0"/>
      <w:marRight w:val="0"/>
      <w:marTop w:val="0"/>
      <w:marBottom w:val="0"/>
      <w:divBdr>
        <w:top w:val="none" w:sz="0" w:space="0" w:color="auto"/>
        <w:left w:val="none" w:sz="0" w:space="0" w:color="auto"/>
        <w:bottom w:val="none" w:sz="0" w:space="0" w:color="auto"/>
        <w:right w:val="none" w:sz="0" w:space="0" w:color="auto"/>
      </w:divBdr>
      <w:divsChild>
        <w:div w:id="115830088">
          <w:marLeft w:val="360"/>
          <w:marRight w:val="0"/>
          <w:marTop w:val="86"/>
          <w:marBottom w:val="60"/>
          <w:divBdr>
            <w:top w:val="none" w:sz="0" w:space="0" w:color="auto"/>
            <w:left w:val="none" w:sz="0" w:space="0" w:color="auto"/>
            <w:bottom w:val="none" w:sz="0" w:space="0" w:color="auto"/>
            <w:right w:val="none" w:sz="0" w:space="0" w:color="auto"/>
          </w:divBdr>
        </w:div>
        <w:div w:id="2116124314">
          <w:marLeft w:val="360"/>
          <w:marRight w:val="0"/>
          <w:marTop w:val="86"/>
          <w:marBottom w:val="60"/>
          <w:divBdr>
            <w:top w:val="none" w:sz="0" w:space="0" w:color="auto"/>
            <w:left w:val="none" w:sz="0" w:space="0" w:color="auto"/>
            <w:bottom w:val="none" w:sz="0" w:space="0" w:color="auto"/>
            <w:right w:val="none" w:sz="0" w:space="0" w:color="auto"/>
          </w:divBdr>
        </w:div>
      </w:divsChild>
    </w:div>
    <w:div w:id="2124105572">
      <w:bodyDiv w:val="1"/>
      <w:marLeft w:val="0"/>
      <w:marRight w:val="0"/>
      <w:marTop w:val="0"/>
      <w:marBottom w:val="0"/>
      <w:divBdr>
        <w:top w:val="none" w:sz="0" w:space="0" w:color="auto"/>
        <w:left w:val="none" w:sz="0" w:space="0" w:color="auto"/>
        <w:bottom w:val="none" w:sz="0" w:space="0" w:color="auto"/>
        <w:right w:val="none" w:sz="0" w:space="0" w:color="auto"/>
      </w:divBdr>
      <w:divsChild>
        <w:div w:id="272175378">
          <w:marLeft w:val="1627"/>
          <w:marRight w:val="0"/>
          <w:marTop w:val="86"/>
          <w:marBottom w:val="60"/>
          <w:divBdr>
            <w:top w:val="none" w:sz="0" w:space="0" w:color="auto"/>
            <w:left w:val="none" w:sz="0" w:space="0" w:color="auto"/>
            <w:bottom w:val="none" w:sz="0" w:space="0" w:color="auto"/>
            <w:right w:val="none" w:sz="0" w:space="0" w:color="auto"/>
          </w:divBdr>
        </w:div>
        <w:div w:id="1102609975">
          <w:marLeft w:val="1627"/>
          <w:marRight w:val="0"/>
          <w:marTop w:val="86"/>
          <w:marBottom w:val="6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FE545-B7BE-4DB0-818B-A2765CD8B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4</Pages>
  <Words>1538</Words>
  <Characters>8767</Characters>
  <Application>Microsoft Office Word</Application>
  <DocSecurity>0</DocSecurity>
  <Lines>73</Lines>
  <Paragraphs>20</Paragraphs>
  <ScaleCrop>false</ScaleCrop>
  <Company/>
  <LinksUpToDate>false</LinksUpToDate>
  <CharactersWithSpaces>10285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OPPO-huyi</cp:lastModifiedBy>
  <cp:revision>8</cp:revision>
  <dcterms:created xsi:type="dcterms:W3CDTF">2025-05-09T07:04:00Z</dcterms:created>
  <dcterms:modified xsi:type="dcterms:W3CDTF">2025-10-02T11:40:00Z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